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FCEB5" w14:textId="77777777" w:rsidR="00A43858" w:rsidRPr="00A43858" w:rsidRDefault="00A43858" w:rsidP="00FE05A0">
      <w:pPr>
        <w:jc w:val="both"/>
        <w:rPr>
          <w:rFonts w:asciiTheme="majorHAnsi" w:hAnsiTheme="majorHAnsi" w:cs="Univers"/>
          <w:b/>
          <w:bCs/>
          <w:sz w:val="22"/>
          <w:szCs w:val="22"/>
          <w:lang w:val="es-ES_tradnl"/>
        </w:rPr>
      </w:pPr>
      <w:r w:rsidRPr="00A43858">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4261540" wp14:editId="040A104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" fillcolor="#4a7194" stroked="f" strokeweight="2pt"/>
            </w:pict>
          </mc:Fallback>
        </mc:AlternateContent>
      </w:r>
      <w:r w:rsidRPr="00A43858">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111FD122" wp14:editId="0CA6CE8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txbx>
                        <w:txbxContent>
                          <w:p w14:paraId="13D6E605" w14:textId="77777777" w:rsidR="00976B0F" w:rsidRDefault="00976B0F" w:rsidP="00A43858">
                            <w:r>
                              <w:rPr>
                                <w:noProof/>
                              </w:rPr>
                              <w:drawing>
                                <wp:inline distT="0" distB="0" distL="0" distR="0" wp14:anchorId="1E533B3D" wp14:editId="7A1450E6">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" filled="f" stroked="f" strokeweight=".5pt">
                <v:textbox>
                  <w:txbxContent>
                    <w:p w14:paraId="13D6E605" w14:textId="77777777" w:rsidR="00976B0F" w:rsidRDefault="00976B0F" w:rsidP="00A43858">
                      <w:r>
                        <w:rPr>
                          <w:noProof/>
                        </w:rPr>
                        <w:drawing>
                          <wp:inline distT="0" distB="0" distL="0" distR="0" wp14:anchorId="1E533B3D" wp14:editId="7A1450E6">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5899B72A" w14:textId="77777777" w:rsidR="00A43858" w:rsidRPr="00A43858" w:rsidRDefault="00A43858" w:rsidP="00FE05A0">
      <w:pPr>
        <w:tabs>
          <w:tab w:val="center" w:pos="5400"/>
        </w:tabs>
        <w:suppressAutoHyphens/>
        <w:jc w:val="both"/>
        <w:rPr>
          <w:rFonts w:asciiTheme="majorHAnsi" w:hAnsiTheme="majorHAnsi"/>
          <w:sz w:val="22"/>
          <w:szCs w:val="22"/>
          <w:lang w:val="es-ES"/>
        </w:rPr>
      </w:pPr>
    </w:p>
    <w:p w14:paraId="1C14B60E" w14:textId="77777777" w:rsidR="00A43858" w:rsidRPr="00A43858" w:rsidRDefault="00A43858" w:rsidP="00FE05A0">
      <w:pPr>
        <w:tabs>
          <w:tab w:val="center" w:pos="5400"/>
        </w:tabs>
        <w:suppressAutoHyphens/>
        <w:jc w:val="both"/>
        <w:rPr>
          <w:rFonts w:asciiTheme="majorHAnsi" w:hAnsiTheme="majorHAnsi"/>
          <w:sz w:val="22"/>
          <w:szCs w:val="22"/>
          <w:lang w:val="es-ES"/>
        </w:rPr>
      </w:pPr>
    </w:p>
    <w:p w14:paraId="6198EADC" w14:textId="77777777" w:rsidR="00A43858" w:rsidRPr="00A43858" w:rsidRDefault="00A43858" w:rsidP="00FE05A0">
      <w:pPr>
        <w:tabs>
          <w:tab w:val="center" w:pos="5400"/>
        </w:tabs>
        <w:suppressAutoHyphens/>
        <w:rPr>
          <w:rFonts w:asciiTheme="majorHAnsi" w:hAnsiTheme="majorHAnsi"/>
          <w:sz w:val="22"/>
          <w:szCs w:val="22"/>
          <w:lang w:val="es-ES_tradnl"/>
        </w:rPr>
      </w:pPr>
    </w:p>
    <w:p w14:paraId="4276E778" w14:textId="77777777" w:rsidR="00A43858" w:rsidRPr="00A43858" w:rsidRDefault="00A43858" w:rsidP="00FE05A0">
      <w:pPr>
        <w:tabs>
          <w:tab w:val="center" w:pos="5400"/>
        </w:tabs>
        <w:suppressAutoHyphens/>
        <w:rPr>
          <w:rFonts w:asciiTheme="majorHAnsi" w:hAnsiTheme="majorHAnsi"/>
          <w:sz w:val="22"/>
          <w:szCs w:val="22"/>
          <w:lang w:val="es-ES_tradnl"/>
        </w:rPr>
      </w:pPr>
    </w:p>
    <w:p w14:paraId="669AAF7F" w14:textId="77777777" w:rsidR="00A43858" w:rsidRPr="00A43858" w:rsidRDefault="00A43858" w:rsidP="00FE05A0">
      <w:pPr>
        <w:tabs>
          <w:tab w:val="center" w:pos="5400"/>
        </w:tabs>
        <w:suppressAutoHyphens/>
        <w:rPr>
          <w:rFonts w:asciiTheme="majorHAnsi" w:hAnsiTheme="majorHAnsi"/>
          <w:sz w:val="22"/>
          <w:szCs w:val="22"/>
          <w:lang w:val="es-ES_tradnl"/>
        </w:rPr>
      </w:pPr>
    </w:p>
    <w:p w14:paraId="574B9139"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p>
    <w:p w14:paraId="090F1BBD"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p>
    <w:p w14:paraId="23A7E7F2"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p>
    <w:p w14:paraId="7B79F0EC"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p>
    <w:p w14:paraId="101C8EEA"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p>
    <w:p w14:paraId="32A3602E"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p>
    <w:p w14:paraId="40AD8EE4"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p>
    <w:p w14:paraId="5D4F93EC"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r w:rsidRPr="00A43858">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764F092E" wp14:editId="5120239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txbx>
                        <w:txbxContent>
                          <w:p w14:paraId="44C61E36" w14:textId="1BB46035" w:rsidR="00976B0F" w:rsidRPr="000158FD" w:rsidRDefault="00976B0F" w:rsidP="00A43858">
                            <w:pPr>
                              <w:spacing w:line="276" w:lineRule="auto"/>
                              <w:rPr>
                                <w:rFonts w:asciiTheme="majorHAnsi" w:hAnsiTheme="majorHAnsi" w:cs="Arial"/>
                                <w:b/>
                                <w:bCs/>
                                <w:color w:val="0D0D0D" w:themeColor="text1" w:themeTint="F2"/>
                                <w:sz w:val="36"/>
                                <w:szCs w:val="22"/>
                                <w:lang w:val="pt-BR"/>
                              </w:rPr>
                            </w:pPr>
                            <w:r w:rsidRPr="000158FD">
                              <w:rPr>
                                <w:rFonts w:asciiTheme="majorHAnsi" w:hAnsiTheme="majorHAnsi" w:cs="Arial"/>
                                <w:b/>
                                <w:bCs/>
                                <w:color w:val="0D0D0D" w:themeColor="text1" w:themeTint="F2"/>
                                <w:sz w:val="36"/>
                                <w:szCs w:val="22"/>
                                <w:lang w:val="pt-BR"/>
                              </w:rPr>
                              <w:t xml:space="preserve">INFORME </w:t>
                            </w:r>
                            <w:r w:rsidRPr="000158FD">
                              <w:rPr>
                                <w:rFonts w:asciiTheme="majorHAnsi" w:hAnsiTheme="majorHAnsi" w:cs="Arial"/>
                                <w:b/>
                                <w:bCs/>
                                <w:color w:val="0D0D0D" w:themeColor="text1" w:themeTint="F2"/>
                                <w:sz w:val="36"/>
                                <w:szCs w:val="40"/>
                                <w:lang w:val="pt-BR"/>
                              </w:rPr>
                              <w:t>No.</w:t>
                            </w:r>
                            <w:r w:rsidR="00C169E9">
                              <w:rPr>
                                <w:rFonts w:asciiTheme="majorHAnsi" w:hAnsiTheme="majorHAnsi" w:cs="Arial"/>
                                <w:b/>
                                <w:bCs/>
                                <w:color w:val="0D0D0D" w:themeColor="text1" w:themeTint="F2"/>
                                <w:sz w:val="36"/>
                                <w:szCs w:val="22"/>
                                <w:lang w:val="pt-BR"/>
                              </w:rPr>
                              <w:t xml:space="preserve"> 116</w:t>
                            </w:r>
                            <w:r w:rsidRPr="000158FD">
                              <w:rPr>
                                <w:rFonts w:asciiTheme="majorHAnsi" w:hAnsiTheme="majorHAnsi" w:cs="Arial"/>
                                <w:b/>
                                <w:bCs/>
                                <w:color w:val="0D0D0D" w:themeColor="text1" w:themeTint="F2"/>
                                <w:sz w:val="36"/>
                                <w:szCs w:val="22"/>
                                <w:lang w:val="pt-BR"/>
                              </w:rPr>
                              <w:t>/</w:t>
                            </w:r>
                            <w:r>
                              <w:rPr>
                                <w:rFonts w:asciiTheme="majorHAnsi" w:hAnsiTheme="majorHAnsi" w:cs="Arial"/>
                                <w:b/>
                                <w:bCs/>
                                <w:color w:val="0D0D0D" w:themeColor="text1" w:themeTint="F2"/>
                                <w:sz w:val="36"/>
                                <w:szCs w:val="22"/>
                                <w:lang w:val="pt-BR"/>
                              </w:rPr>
                              <w:t>18</w:t>
                            </w:r>
                          </w:p>
                          <w:p w14:paraId="7F81C82B" w14:textId="77777777" w:rsidR="00976B0F" w:rsidRPr="000158FD" w:rsidRDefault="00976B0F" w:rsidP="00A43858">
                            <w:pPr>
                              <w:spacing w:line="276" w:lineRule="auto"/>
                              <w:rPr>
                                <w:rFonts w:asciiTheme="majorHAnsi" w:hAnsiTheme="majorHAnsi" w:cs="Arial"/>
                                <w:b/>
                                <w:color w:val="0D0D0D" w:themeColor="text1" w:themeTint="F2"/>
                                <w:sz w:val="36"/>
                                <w:szCs w:val="22"/>
                                <w:lang w:val="pt-BR"/>
                              </w:rPr>
                            </w:pPr>
                            <w:r w:rsidRPr="000158FD">
                              <w:rPr>
                                <w:rFonts w:asciiTheme="majorHAnsi" w:hAnsiTheme="majorHAnsi" w:cs="Arial"/>
                                <w:b/>
                                <w:color w:val="0D0D0D" w:themeColor="text1" w:themeTint="F2"/>
                                <w:sz w:val="36"/>
                                <w:szCs w:val="22"/>
                                <w:lang w:val="pt-BR"/>
                              </w:rPr>
                              <w:t xml:space="preserve">CASO </w:t>
                            </w:r>
                            <w:r>
                              <w:rPr>
                                <w:rFonts w:asciiTheme="majorHAnsi" w:hAnsiTheme="majorHAnsi" w:cs="Arial"/>
                                <w:b/>
                                <w:color w:val="0D0D0D" w:themeColor="text1" w:themeTint="F2"/>
                                <w:sz w:val="36"/>
                                <w:szCs w:val="22"/>
                                <w:lang w:val="pt-BR"/>
                              </w:rPr>
                              <w:t>12.975</w:t>
                            </w:r>
                          </w:p>
                          <w:p w14:paraId="30E90F8F" w14:textId="77777777" w:rsidR="00976B0F" w:rsidRPr="0010736F" w:rsidRDefault="00976B0F" w:rsidP="00A43858">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7806B730" w14:textId="77777777" w:rsidR="00976B0F" w:rsidRPr="0010736F" w:rsidRDefault="00976B0F" w:rsidP="00A43858">
                            <w:pPr>
                              <w:spacing w:line="276" w:lineRule="auto"/>
                              <w:rPr>
                                <w:rFonts w:asciiTheme="majorHAnsi" w:hAnsiTheme="majorHAnsi" w:cs="Arial"/>
                                <w:color w:val="0D0D0D" w:themeColor="text1" w:themeTint="F2"/>
                                <w:szCs w:val="22"/>
                                <w:lang w:val="es-ES_tradnl"/>
                              </w:rPr>
                            </w:pPr>
                            <w:bookmarkStart w:id="0" w:name="_ftnref1"/>
                          </w:p>
                          <w:p w14:paraId="34AEAF43" w14:textId="77777777" w:rsidR="00976B0F" w:rsidRPr="0010736F" w:rsidRDefault="00976B0F" w:rsidP="00A43858">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JULIO CASA NINA</w:t>
                            </w:r>
                          </w:p>
                          <w:bookmarkEnd w:id="0"/>
                          <w:p w14:paraId="2C867CE0" w14:textId="77777777" w:rsidR="00976B0F" w:rsidRPr="003D6F27" w:rsidRDefault="00976B0F" w:rsidP="00A43858">
                            <w:pPr>
                              <w:spacing w:line="276" w:lineRule="auto"/>
                              <w:rPr>
                                <w:rFonts w:asciiTheme="majorHAnsi" w:hAnsiTheme="majorHAnsi" w:cs="Arial"/>
                                <w:color w:val="0D0D0D" w:themeColor="text1" w:themeTint="F2"/>
                                <w:szCs w:val="22"/>
                                <w:lang w:val="es-CL"/>
                              </w:rPr>
                            </w:pPr>
                            <w:r>
                              <w:rPr>
                                <w:rFonts w:asciiTheme="majorHAnsi" w:hAnsiTheme="majorHAnsi" w:cs="Arial"/>
                                <w:color w:val="0D0D0D" w:themeColor="text1" w:themeTint="F2"/>
                                <w:szCs w:val="22"/>
                                <w:lang w:val="es-ES_tradnl"/>
                              </w:rPr>
                              <w:t>PER</w:t>
                            </w:r>
                            <w:r>
                              <w:rPr>
                                <w:rFonts w:asciiTheme="majorHAnsi" w:hAnsiTheme="majorHAnsi" w:cs="Arial"/>
                                <w:color w:val="0D0D0D" w:themeColor="text1" w:themeTint="F2"/>
                                <w:szCs w:val="22"/>
                                <w:lang w:val="es-CL"/>
                              </w:rPr>
                              <w:t>Ú</w:t>
                            </w:r>
                          </w:p>
                          <w:p w14:paraId="3E71678E" w14:textId="77777777" w:rsidR="00976B0F" w:rsidRPr="00AE5488" w:rsidRDefault="00976B0F" w:rsidP="00A43858">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" filled="f" stroked="f" strokeweight=".5pt">
                <v:textbox>
                  <w:txbxContent>
                    <w:p w14:paraId="44C61E36" w14:textId="1BB46035" w:rsidR="00976B0F" w:rsidRPr="000158FD" w:rsidRDefault="00976B0F" w:rsidP="00A43858">
                      <w:pPr>
                        <w:spacing w:line="276" w:lineRule="auto"/>
                        <w:rPr>
                          <w:rFonts w:asciiTheme="majorHAnsi" w:hAnsiTheme="majorHAnsi" w:cs="Arial"/>
                          <w:b/>
                          <w:bCs/>
                          <w:color w:val="0D0D0D" w:themeColor="text1" w:themeTint="F2"/>
                          <w:sz w:val="36"/>
                          <w:szCs w:val="22"/>
                          <w:lang w:val="pt-BR"/>
                        </w:rPr>
                      </w:pPr>
                      <w:r w:rsidRPr="000158FD">
                        <w:rPr>
                          <w:rFonts w:asciiTheme="majorHAnsi" w:hAnsiTheme="majorHAnsi" w:cs="Arial"/>
                          <w:b/>
                          <w:bCs/>
                          <w:color w:val="0D0D0D" w:themeColor="text1" w:themeTint="F2"/>
                          <w:sz w:val="36"/>
                          <w:szCs w:val="22"/>
                          <w:lang w:val="pt-BR"/>
                        </w:rPr>
                        <w:t xml:space="preserve">INFORME </w:t>
                      </w:r>
                      <w:r w:rsidRPr="000158FD">
                        <w:rPr>
                          <w:rFonts w:asciiTheme="majorHAnsi" w:hAnsiTheme="majorHAnsi" w:cs="Arial"/>
                          <w:b/>
                          <w:bCs/>
                          <w:color w:val="0D0D0D" w:themeColor="text1" w:themeTint="F2"/>
                          <w:sz w:val="36"/>
                          <w:szCs w:val="40"/>
                          <w:lang w:val="pt-BR"/>
                        </w:rPr>
                        <w:t>No.</w:t>
                      </w:r>
                      <w:r w:rsidR="00C169E9">
                        <w:rPr>
                          <w:rFonts w:asciiTheme="majorHAnsi" w:hAnsiTheme="majorHAnsi" w:cs="Arial"/>
                          <w:b/>
                          <w:bCs/>
                          <w:color w:val="0D0D0D" w:themeColor="text1" w:themeTint="F2"/>
                          <w:sz w:val="36"/>
                          <w:szCs w:val="22"/>
                          <w:lang w:val="pt-BR"/>
                        </w:rPr>
                        <w:t xml:space="preserve"> 116</w:t>
                      </w:r>
                      <w:r w:rsidRPr="000158FD">
                        <w:rPr>
                          <w:rFonts w:asciiTheme="majorHAnsi" w:hAnsiTheme="majorHAnsi" w:cs="Arial"/>
                          <w:b/>
                          <w:bCs/>
                          <w:color w:val="0D0D0D" w:themeColor="text1" w:themeTint="F2"/>
                          <w:sz w:val="36"/>
                          <w:szCs w:val="22"/>
                          <w:lang w:val="pt-BR"/>
                        </w:rPr>
                        <w:t>/</w:t>
                      </w:r>
                      <w:r>
                        <w:rPr>
                          <w:rFonts w:asciiTheme="majorHAnsi" w:hAnsiTheme="majorHAnsi" w:cs="Arial"/>
                          <w:b/>
                          <w:bCs/>
                          <w:color w:val="0D0D0D" w:themeColor="text1" w:themeTint="F2"/>
                          <w:sz w:val="36"/>
                          <w:szCs w:val="22"/>
                          <w:lang w:val="pt-BR"/>
                        </w:rPr>
                        <w:t>18</w:t>
                      </w:r>
                    </w:p>
                    <w:p w14:paraId="7F81C82B" w14:textId="77777777" w:rsidR="00976B0F" w:rsidRPr="000158FD" w:rsidRDefault="00976B0F" w:rsidP="00A43858">
                      <w:pPr>
                        <w:spacing w:line="276" w:lineRule="auto"/>
                        <w:rPr>
                          <w:rFonts w:asciiTheme="majorHAnsi" w:hAnsiTheme="majorHAnsi" w:cs="Arial"/>
                          <w:b/>
                          <w:color w:val="0D0D0D" w:themeColor="text1" w:themeTint="F2"/>
                          <w:sz w:val="36"/>
                          <w:szCs w:val="22"/>
                          <w:lang w:val="pt-BR"/>
                        </w:rPr>
                      </w:pPr>
                      <w:r w:rsidRPr="000158FD">
                        <w:rPr>
                          <w:rFonts w:asciiTheme="majorHAnsi" w:hAnsiTheme="majorHAnsi" w:cs="Arial"/>
                          <w:b/>
                          <w:color w:val="0D0D0D" w:themeColor="text1" w:themeTint="F2"/>
                          <w:sz w:val="36"/>
                          <w:szCs w:val="22"/>
                          <w:lang w:val="pt-BR"/>
                        </w:rPr>
                        <w:t xml:space="preserve">CASO </w:t>
                      </w:r>
                      <w:r>
                        <w:rPr>
                          <w:rFonts w:asciiTheme="majorHAnsi" w:hAnsiTheme="majorHAnsi" w:cs="Arial"/>
                          <w:b/>
                          <w:color w:val="0D0D0D" w:themeColor="text1" w:themeTint="F2"/>
                          <w:sz w:val="36"/>
                          <w:szCs w:val="22"/>
                          <w:lang w:val="pt-BR"/>
                        </w:rPr>
                        <w:t>12.975</w:t>
                      </w:r>
                    </w:p>
                    <w:p w14:paraId="30E90F8F" w14:textId="77777777" w:rsidR="00976B0F" w:rsidRPr="0010736F" w:rsidRDefault="00976B0F" w:rsidP="00A43858">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7806B730" w14:textId="77777777" w:rsidR="00976B0F" w:rsidRPr="0010736F" w:rsidRDefault="00976B0F" w:rsidP="00A43858">
                      <w:pPr>
                        <w:spacing w:line="276" w:lineRule="auto"/>
                        <w:rPr>
                          <w:rFonts w:asciiTheme="majorHAnsi" w:hAnsiTheme="majorHAnsi" w:cs="Arial"/>
                          <w:color w:val="0D0D0D" w:themeColor="text1" w:themeTint="F2"/>
                          <w:szCs w:val="22"/>
                          <w:lang w:val="es-ES_tradnl"/>
                        </w:rPr>
                      </w:pPr>
                      <w:bookmarkStart w:id="1" w:name="_ftnref1"/>
                    </w:p>
                    <w:p w14:paraId="34AEAF43" w14:textId="77777777" w:rsidR="00976B0F" w:rsidRPr="0010736F" w:rsidRDefault="00976B0F" w:rsidP="00A43858">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JULIO CASA NINA</w:t>
                      </w:r>
                    </w:p>
                    <w:bookmarkEnd w:id="1"/>
                    <w:p w14:paraId="2C867CE0" w14:textId="77777777" w:rsidR="00976B0F" w:rsidRPr="003D6F27" w:rsidRDefault="00976B0F" w:rsidP="00A43858">
                      <w:pPr>
                        <w:spacing w:line="276" w:lineRule="auto"/>
                        <w:rPr>
                          <w:rFonts w:asciiTheme="majorHAnsi" w:hAnsiTheme="majorHAnsi" w:cs="Arial"/>
                          <w:color w:val="0D0D0D" w:themeColor="text1" w:themeTint="F2"/>
                          <w:szCs w:val="22"/>
                          <w:lang w:val="es-CL"/>
                        </w:rPr>
                      </w:pPr>
                      <w:r>
                        <w:rPr>
                          <w:rFonts w:asciiTheme="majorHAnsi" w:hAnsiTheme="majorHAnsi" w:cs="Arial"/>
                          <w:color w:val="0D0D0D" w:themeColor="text1" w:themeTint="F2"/>
                          <w:szCs w:val="22"/>
                          <w:lang w:val="es-ES_tradnl"/>
                        </w:rPr>
                        <w:t>PER</w:t>
                      </w:r>
                      <w:r>
                        <w:rPr>
                          <w:rFonts w:asciiTheme="majorHAnsi" w:hAnsiTheme="majorHAnsi" w:cs="Arial"/>
                          <w:color w:val="0D0D0D" w:themeColor="text1" w:themeTint="F2"/>
                          <w:szCs w:val="22"/>
                          <w:lang w:val="es-CL"/>
                        </w:rPr>
                        <w:t>Ú</w:t>
                      </w:r>
                    </w:p>
                    <w:p w14:paraId="3E71678E" w14:textId="77777777" w:rsidR="00976B0F" w:rsidRPr="00AE5488" w:rsidRDefault="00976B0F" w:rsidP="00A43858">
                      <w:pPr>
                        <w:rPr>
                          <w:color w:val="0D0D0D" w:themeColor="text1" w:themeTint="F2"/>
                          <w:lang w:val="es-ES_tradnl"/>
                        </w:rPr>
                      </w:pPr>
                    </w:p>
                  </w:txbxContent>
                </v:textbox>
              </v:shape>
            </w:pict>
          </mc:Fallback>
        </mc:AlternateContent>
      </w:r>
      <w:r w:rsidRPr="00A43858">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5903529E" wp14:editId="6F8558A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txbx>
                        <w:txbxContent>
                          <w:p w14:paraId="1F7B4EE9" w14:textId="3CEF72F5" w:rsidR="00976B0F" w:rsidRPr="004E2649" w:rsidRDefault="00C169E9" w:rsidP="00A43858">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14:paraId="588F0D4C" w14:textId="68D81F46" w:rsidR="00976B0F" w:rsidRPr="004E2649" w:rsidRDefault="00C169E9" w:rsidP="00A43858">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133</w:t>
                            </w:r>
                          </w:p>
                          <w:p w14:paraId="02FDEF7C" w14:textId="256E1B1C" w:rsidR="00976B0F" w:rsidRPr="007C756A" w:rsidRDefault="00C07A9B" w:rsidP="00A43858">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5 </w:t>
                            </w:r>
                            <w:r w:rsidR="00C169E9">
                              <w:rPr>
                                <w:rFonts w:asciiTheme="minorHAnsi" w:hAnsiTheme="minorHAnsi"/>
                                <w:color w:val="FFFFFF" w:themeColor="background1"/>
                                <w:sz w:val="22"/>
                                <w:lang w:val="es-US"/>
                              </w:rPr>
                              <w:t>octubre</w:t>
                            </w:r>
                            <w:r w:rsidR="00976B0F" w:rsidRPr="007C756A">
                              <w:rPr>
                                <w:rFonts w:asciiTheme="minorHAnsi" w:hAnsiTheme="minorHAnsi"/>
                                <w:color w:val="FFFFFF" w:themeColor="background1"/>
                                <w:sz w:val="22"/>
                                <w:lang w:val="es-US"/>
                              </w:rPr>
                              <w:t xml:space="preserve"> 20</w:t>
                            </w:r>
                            <w:r w:rsidR="00976B0F">
                              <w:rPr>
                                <w:rFonts w:asciiTheme="minorHAnsi" w:hAnsiTheme="minorHAnsi"/>
                                <w:color w:val="FFFFFF" w:themeColor="background1"/>
                                <w:sz w:val="22"/>
                                <w:lang w:val="es-US"/>
                              </w:rPr>
                              <w:t>18</w:t>
                            </w:r>
                          </w:p>
                          <w:p w14:paraId="62D9177A" w14:textId="77777777" w:rsidR="00976B0F" w:rsidRPr="007C756A" w:rsidRDefault="00976B0F" w:rsidP="00A43858">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" filled="f" stroked="f" strokeweight=".5pt">
                <v:textbox>
                  <w:txbxContent>
                    <w:p w14:paraId="1F7B4EE9" w14:textId="3CEF72F5" w:rsidR="00976B0F" w:rsidRPr="004E2649" w:rsidRDefault="00C169E9" w:rsidP="00A43858">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14:paraId="588F0D4C" w14:textId="68D81F46" w:rsidR="00976B0F" w:rsidRPr="004E2649" w:rsidRDefault="00C169E9" w:rsidP="00A43858">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133</w:t>
                      </w:r>
                    </w:p>
                    <w:p w14:paraId="02FDEF7C" w14:textId="256E1B1C" w:rsidR="00976B0F" w:rsidRPr="007C756A" w:rsidRDefault="00C07A9B" w:rsidP="00A43858">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5 </w:t>
                      </w:r>
                      <w:r w:rsidR="00C169E9">
                        <w:rPr>
                          <w:rFonts w:asciiTheme="minorHAnsi" w:hAnsiTheme="minorHAnsi"/>
                          <w:color w:val="FFFFFF" w:themeColor="background1"/>
                          <w:sz w:val="22"/>
                          <w:lang w:val="es-US"/>
                        </w:rPr>
                        <w:t>octubre</w:t>
                      </w:r>
                      <w:r w:rsidR="00976B0F" w:rsidRPr="007C756A">
                        <w:rPr>
                          <w:rFonts w:asciiTheme="minorHAnsi" w:hAnsiTheme="minorHAnsi"/>
                          <w:color w:val="FFFFFF" w:themeColor="background1"/>
                          <w:sz w:val="22"/>
                          <w:lang w:val="es-US"/>
                        </w:rPr>
                        <w:t xml:space="preserve"> 20</w:t>
                      </w:r>
                      <w:r w:rsidR="00976B0F">
                        <w:rPr>
                          <w:rFonts w:asciiTheme="minorHAnsi" w:hAnsiTheme="minorHAnsi"/>
                          <w:color w:val="FFFFFF" w:themeColor="background1"/>
                          <w:sz w:val="22"/>
                          <w:lang w:val="es-US"/>
                        </w:rPr>
                        <w:t>18</w:t>
                      </w:r>
                    </w:p>
                    <w:p w14:paraId="62D9177A" w14:textId="77777777" w:rsidR="00976B0F" w:rsidRPr="007C756A" w:rsidRDefault="00976B0F" w:rsidP="00A43858">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50EAAF6E"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p>
    <w:p w14:paraId="565901FA"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p>
    <w:p w14:paraId="2FADA6B1" w14:textId="77777777" w:rsidR="00A43858" w:rsidRPr="00A43858" w:rsidRDefault="00A43858" w:rsidP="00FE05A0">
      <w:pPr>
        <w:tabs>
          <w:tab w:val="center" w:pos="5400"/>
        </w:tabs>
        <w:suppressAutoHyphens/>
        <w:jc w:val="center"/>
        <w:rPr>
          <w:rFonts w:asciiTheme="majorHAnsi" w:hAnsiTheme="majorHAnsi" w:cs="Arial"/>
          <w:sz w:val="22"/>
          <w:szCs w:val="22"/>
          <w:lang w:val="es-ES_tradnl"/>
        </w:rPr>
      </w:pPr>
    </w:p>
    <w:p w14:paraId="33E0AA18"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p>
    <w:p w14:paraId="4CEA33BC"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p>
    <w:p w14:paraId="4FCF850B"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p>
    <w:p w14:paraId="672FD75A"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p>
    <w:p w14:paraId="3165882A"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p>
    <w:p w14:paraId="1F257F63"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p>
    <w:p w14:paraId="7C94C16B"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p>
    <w:p w14:paraId="71CD1882"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p>
    <w:p w14:paraId="64323021"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p>
    <w:p w14:paraId="746D5A65"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p>
    <w:p w14:paraId="2231D0ED" w14:textId="77777777" w:rsidR="00A43858" w:rsidRPr="00A43858" w:rsidRDefault="00A43858" w:rsidP="00FE05A0">
      <w:pPr>
        <w:tabs>
          <w:tab w:val="center" w:pos="5400"/>
        </w:tabs>
        <w:suppressAutoHyphens/>
        <w:jc w:val="center"/>
        <w:rPr>
          <w:rFonts w:asciiTheme="majorHAnsi" w:hAnsiTheme="majorHAnsi"/>
          <w:sz w:val="22"/>
          <w:szCs w:val="22"/>
          <w:lang w:val="es-ES_tradnl"/>
        </w:rPr>
      </w:pPr>
    </w:p>
    <w:p w14:paraId="6C28CDDD"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p>
    <w:p w14:paraId="746E9935"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p>
    <w:p w14:paraId="51F88542"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p>
    <w:p w14:paraId="461D0A52"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p>
    <w:p w14:paraId="6321C15B"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p>
    <w:p w14:paraId="2103AA89"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p>
    <w:p w14:paraId="24B20185"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p>
    <w:p w14:paraId="5BF10430"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p>
    <w:p w14:paraId="483A7A1B"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p>
    <w:p w14:paraId="066B4164"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p>
    <w:p w14:paraId="5BB85C2A"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p>
    <w:p w14:paraId="4AB491FF"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p>
    <w:p w14:paraId="0C51BC35"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p>
    <w:p w14:paraId="36ADE531"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p>
    <w:p w14:paraId="483E5B85"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r w:rsidRPr="00A43858">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69A6F607" wp14:editId="4539520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txbx>
                        <w:txbxContent>
                          <w:p w14:paraId="1FBCD7FF" w14:textId="0DC903B2" w:rsidR="00976B0F" w:rsidRPr="00890650" w:rsidRDefault="00976B0F" w:rsidP="00A43858">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C169E9">
                              <w:rPr>
                                <w:rFonts w:asciiTheme="majorHAnsi" w:hAnsiTheme="majorHAnsi"/>
                                <w:color w:val="0D0D0D" w:themeColor="text1" w:themeTint="F2"/>
                                <w:sz w:val="18"/>
                                <w:szCs w:val="20"/>
                                <w:lang w:val="es-ES"/>
                              </w:rPr>
                              <w:t xml:space="preserve"> 2137</w:t>
                            </w:r>
                            <w:r w:rsidRPr="00890650">
                              <w:rPr>
                                <w:rFonts w:asciiTheme="majorHAnsi" w:hAnsiTheme="majorHAnsi"/>
                                <w:color w:val="0D0D0D" w:themeColor="text1" w:themeTint="F2"/>
                                <w:sz w:val="18"/>
                                <w:szCs w:val="20"/>
                                <w:lang w:val="es-ES"/>
                              </w:rPr>
                              <w:t xml:space="preserve"> c</w:t>
                            </w:r>
                            <w:r w:rsidR="00C169E9">
                              <w:rPr>
                                <w:rFonts w:asciiTheme="majorHAnsi" w:hAnsiTheme="majorHAnsi"/>
                                <w:color w:val="0D0D0D" w:themeColor="text1" w:themeTint="F2"/>
                                <w:sz w:val="18"/>
                                <w:szCs w:val="20"/>
                                <w:lang w:val="es-ES"/>
                              </w:rPr>
                              <w:t>elebrada el 5 de 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sidR="00C169E9">
                              <w:rPr>
                                <w:rFonts w:asciiTheme="majorHAnsi" w:hAnsiTheme="majorHAnsi" w:cs="Univers"/>
                                <w:color w:val="0D0D0D" w:themeColor="text1" w:themeTint="F2"/>
                                <w:sz w:val="18"/>
                                <w:szCs w:val="20"/>
                                <w:lang w:val="es-ES"/>
                              </w:rPr>
                              <w:t>169</w:t>
                            </w:r>
                            <w:r w:rsidRPr="00890650">
                              <w:rPr>
                                <w:rFonts w:asciiTheme="majorHAnsi" w:hAnsiTheme="majorHAnsi" w:cs="Univers"/>
                                <w:color w:val="0D0D0D" w:themeColor="text1" w:themeTint="F2"/>
                                <w:sz w:val="18"/>
                                <w:szCs w:val="20"/>
                                <w:lang w:val="es-ES_tradnl"/>
                              </w:rPr>
                              <w:t xml:space="preserve"> </w:t>
                            </w:r>
                            <w:r w:rsidR="00EE62AF">
                              <w:rPr>
                                <w:rFonts w:asciiTheme="majorHAnsi" w:hAnsiTheme="majorHAnsi" w:cs="Univers"/>
                                <w:color w:val="0D0D0D" w:themeColor="text1" w:themeTint="F2"/>
                                <w:sz w:val="18"/>
                                <w:szCs w:val="20"/>
                                <w:lang w:val="es-ES_tradnl"/>
                              </w:rPr>
                              <w:t>P</w:t>
                            </w:r>
                            <w:r w:rsidRPr="00890650">
                              <w:rPr>
                                <w:rFonts w:asciiTheme="majorHAnsi" w:hAnsiTheme="majorHAnsi" w:cs="Univers"/>
                                <w:color w:val="0D0D0D" w:themeColor="text1" w:themeTint="F2"/>
                                <w:sz w:val="18"/>
                                <w:szCs w:val="20"/>
                                <w:lang w:val="es-ES_tradnl"/>
                              </w:rPr>
                              <w:t xml:space="preserve">eríodo </w:t>
                            </w:r>
                            <w:r w:rsidR="00EE62AF">
                              <w:rPr>
                                <w:rFonts w:asciiTheme="majorHAnsi" w:hAnsiTheme="majorHAnsi" w:cs="Univers"/>
                                <w:color w:val="0D0D0D" w:themeColor="text1" w:themeTint="F2"/>
                                <w:sz w:val="18"/>
                                <w:szCs w:val="20"/>
                                <w:lang w:val="es-ES_tradnl"/>
                              </w:rPr>
                              <w:t>Ordinario</w:t>
                            </w:r>
                            <w:r w:rsidRPr="00890650">
                              <w:rPr>
                                <w:rFonts w:asciiTheme="majorHAnsi" w:hAnsiTheme="majorHAnsi" w:cs="Univers"/>
                                <w:color w:val="0D0D0D" w:themeColor="text1" w:themeTint="F2"/>
                                <w:sz w:val="18"/>
                                <w:szCs w:val="20"/>
                                <w:lang w:val="es-ES_tradnl"/>
                              </w:rPr>
                              <w:t xml:space="preserve"> de </w:t>
                            </w:r>
                            <w:r w:rsidR="00EE62AF">
                              <w:rPr>
                                <w:rFonts w:asciiTheme="majorHAnsi" w:hAnsiTheme="majorHAnsi" w:cs="Univers"/>
                                <w:color w:val="0D0D0D" w:themeColor="text1" w:themeTint="F2"/>
                                <w:sz w:val="18"/>
                                <w:szCs w:val="20"/>
                                <w:lang w:val="es-ES_tradnl"/>
                              </w:rPr>
                              <w:t>S</w:t>
                            </w:r>
                            <w:r w:rsidRPr="00890650">
                              <w:rPr>
                                <w:rFonts w:asciiTheme="majorHAnsi" w:hAnsiTheme="majorHAnsi" w:cs="Univers"/>
                                <w:color w:val="0D0D0D" w:themeColor="text1" w:themeTint="F2"/>
                                <w:sz w:val="18"/>
                                <w:szCs w:val="20"/>
                                <w:lang w:val="es-ES_tradnl"/>
                              </w:rPr>
                              <w:t>esiones</w:t>
                            </w:r>
                          </w:p>
                          <w:p w14:paraId="2AB70291" w14:textId="77777777" w:rsidR="00976B0F" w:rsidRPr="00890650" w:rsidRDefault="00976B0F" w:rsidP="00A43858">
                            <w:pPr>
                              <w:tabs>
                                <w:tab w:val="center" w:pos="5400"/>
                              </w:tabs>
                              <w:suppressAutoHyphens/>
                              <w:spacing w:before="60"/>
                              <w:rPr>
                                <w:rFonts w:asciiTheme="majorHAnsi" w:hAnsiTheme="majorHAnsi"/>
                                <w:color w:val="0D0D0D" w:themeColor="text1" w:themeTint="F2"/>
                                <w:sz w:val="18"/>
                                <w:szCs w:val="22"/>
                                <w:lang w:val="es-ES"/>
                              </w:rPr>
                            </w:pPr>
                          </w:p>
                          <w:p w14:paraId="49EA3F9B" w14:textId="77777777" w:rsidR="00976B0F" w:rsidRPr="007A5817" w:rsidRDefault="00976B0F" w:rsidP="00A43858">
                            <w:pPr>
                              <w:tabs>
                                <w:tab w:val="center" w:pos="5400"/>
                              </w:tabs>
                              <w:suppressAutoHyphens/>
                              <w:spacing w:before="60"/>
                              <w:rPr>
                                <w:rFonts w:asciiTheme="minorHAnsi" w:hAnsiTheme="minorHAnsi" w:cs="Univers"/>
                                <w:color w:val="0D0D0D" w:themeColor="text1" w:themeTint="F2"/>
                                <w:sz w:val="20"/>
                                <w:szCs w:val="20"/>
                                <w:lang w:val="es-ES"/>
                              </w:rPr>
                            </w:pPr>
                          </w:p>
                          <w:p w14:paraId="3A96E95D" w14:textId="77777777" w:rsidR="00976B0F" w:rsidRPr="00167A34" w:rsidRDefault="00976B0F" w:rsidP="00A43858">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5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" filled="f" stroked="f" strokeweight=".5pt">
                <v:textbox>
                  <w:txbxContent>
                    <w:p w14:paraId="1FBCD7FF" w14:textId="0DC903B2" w:rsidR="00976B0F" w:rsidRPr="00890650" w:rsidRDefault="00976B0F" w:rsidP="00A43858">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C169E9">
                        <w:rPr>
                          <w:rFonts w:asciiTheme="majorHAnsi" w:hAnsiTheme="majorHAnsi"/>
                          <w:color w:val="0D0D0D" w:themeColor="text1" w:themeTint="F2"/>
                          <w:sz w:val="18"/>
                          <w:szCs w:val="20"/>
                          <w:lang w:val="es-ES"/>
                        </w:rPr>
                        <w:t xml:space="preserve"> 2137</w:t>
                      </w:r>
                      <w:r w:rsidRPr="00890650">
                        <w:rPr>
                          <w:rFonts w:asciiTheme="majorHAnsi" w:hAnsiTheme="majorHAnsi"/>
                          <w:color w:val="0D0D0D" w:themeColor="text1" w:themeTint="F2"/>
                          <w:sz w:val="18"/>
                          <w:szCs w:val="20"/>
                          <w:lang w:val="es-ES"/>
                        </w:rPr>
                        <w:t xml:space="preserve"> c</w:t>
                      </w:r>
                      <w:r w:rsidR="00C169E9">
                        <w:rPr>
                          <w:rFonts w:asciiTheme="majorHAnsi" w:hAnsiTheme="majorHAnsi"/>
                          <w:color w:val="0D0D0D" w:themeColor="text1" w:themeTint="F2"/>
                          <w:sz w:val="18"/>
                          <w:szCs w:val="20"/>
                          <w:lang w:val="es-ES"/>
                        </w:rPr>
                        <w:t>elebrada el 5 de 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sidR="00C169E9">
                        <w:rPr>
                          <w:rFonts w:asciiTheme="majorHAnsi" w:hAnsiTheme="majorHAnsi" w:cs="Univers"/>
                          <w:color w:val="0D0D0D" w:themeColor="text1" w:themeTint="F2"/>
                          <w:sz w:val="18"/>
                          <w:szCs w:val="20"/>
                          <w:lang w:val="es-ES"/>
                        </w:rPr>
                        <w:t>169</w:t>
                      </w:r>
                      <w:r w:rsidRPr="00890650">
                        <w:rPr>
                          <w:rFonts w:asciiTheme="majorHAnsi" w:hAnsiTheme="majorHAnsi" w:cs="Univers"/>
                          <w:color w:val="0D0D0D" w:themeColor="text1" w:themeTint="F2"/>
                          <w:sz w:val="18"/>
                          <w:szCs w:val="20"/>
                          <w:lang w:val="es-ES_tradnl"/>
                        </w:rPr>
                        <w:t xml:space="preserve"> </w:t>
                      </w:r>
                      <w:r w:rsidR="00EE62AF">
                        <w:rPr>
                          <w:rFonts w:asciiTheme="majorHAnsi" w:hAnsiTheme="majorHAnsi" w:cs="Univers"/>
                          <w:color w:val="0D0D0D" w:themeColor="text1" w:themeTint="F2"/>
                          <w:sz w:val="18"/>
                          <w:szCs w:val="20"/>
                          <w:lang w:val="es-ES_tradnl"/>
                        </w:rPr>
                        <w:t>P</w:t>
                      </w:r>
                      <w:r w:rsidRPr="00890650">
                        <w:rPr>
                          <w:rFonts w:asciiTheme="majorHAnsi" w:hAnsiTheme="majorHAnsi" w:cs="Univers"/>
                          <w:color w:val="0D0D0D" w:themeColor="text1" w:themeTint="F2"/>
                          <w:sz w:val="18"/>
                          <w:szCs w:val="20"/>
                          <w:lang w:val="es-ES_tradnl"/>
                        </w:rPr>
                        <w:t xml:space="preserve">eríodo </w:t>
                      </w:r>
                      <w:r w:rsidR="00EE62AF">
                        <w:rPr>
                          <w:rFonts w:asciiTheme="majorHAnsi" w:hAnsiTheme="majorHAnsi" w:cs="Univers"/>
                          <w:color w:val="0D0D0D" w:themeColor="text1" w:themeTint="F2"/>
                          <w:sz w:val="18"/>
                          <w:szCs w:val="20"/>
                          <w:lang w:val="es-ES_tradnl"/>
                        </w:rPr>
                        <w:t>Ordinario</w:t>
                      </w:r>
                      <w:r w:rsidRPr="00890650">
                        <w:rPr>
                          <w:rFonts w:asciiTheme="majorHAnsi" w:hAnsiTheme="majorHAnsi" w:cs="Univers"/>
                          <w:color w:val="0D0D0D" w:themeColor="text1" w:themeTint="F2"/>
                          <w:sz w:val="18"/>
                          <w:szCs w:val="20"/>
                          <w:lang w:val="es-ES_tradnl"/>
                        </w:rPr>
                        <w:t xml:space="preserve"> de </w:t>
                      </w:r>
                      <w:r w:rsidR="00EE62AF">
                        <w:rPr>
                          <w:rFonts w:asciiTheme="majorHAnsi" w:hAnsiTheme="majorHAnsi" w:cs="Univers"/>
                          <w:color w:val="0D0D0D" w:themeColor="text1" w:themeTint="F2"/>
                          <w:sz w:val="18"/>
                          <w:szCs w:val="20"/>
                          <w:lang w:val="es-ES_tradnl"/>
                        </w:rPr>
                        <w:t>S</w:t>
                      </w:r>
                      <w:r w:rsidRPr="00890650">
                        <w:rPr>
                          <w:rFonts w:asciiTheme="majorHAnsi" w:hAnsiTheme="majorHAnsi" w:cs="Univers"/>
                          <w:color w:val="0D0D0D" w:themeColor="text1" w:themeTint="F2"/>
                          <w:sz w:val="18"/>
                          <w:szCs w:val="20"/>
                          <w:lang w:val="es-ES_tradnl"/>
                        </w:rPr>
                        <w:t>esiones</w:t>
                      </w:r>
                    </w:p>
                    <w:p w14:paraId="2AB70291" w14:textId="77777777" w:rsidR="00976B0F" w:rsidRPr="00890650" w:rsidRDefault="00976B0F" w:rsidP="00A43858">
                      <w:pPr>
                        <w:tabs>
                          <w:tab w:val="center" w:pos="5400"/>
                        </w:tabs>
                        <w:suppressAutoHyphens/>
                        <w:spacing w:before="60"/>
                        <w:rPr>
                          <w:rFonts w:asciiTheme="majorHAnsi" w:hAnsiTheme="majorHAnsi"/>
                          <w:color w:val="0D0D0D" w:themeColor="text1" w:themeTint="F2"/>
                          <w:sz w:val="18"/>
                          <w:szCs w:val="22"/>
                          <w:lang w:val="es-ES"/>
                        </w:rPr>
                      </w:pPr>
                    </w:p>
                    <w:p w14:paraId="49EA3F9B" w14:textId="77777777" w:rsidR="00976B0F" w:rsidRPr="007A5817" w:rsidRDefault="00976B0F" w:rsidP="00A43858">
                      <w:pPr>
                        <w:tabs>
                          <w:tab w:val="center" w:pos="5400"/>
                        </w:tabs>
                        <w:suppressAutoHyphens/>
                        <w:spacing w:before="60"/>
                        <w:rPr>
                          <w:rFonts w:asciiTheme="minorHAnsi" w:hAnsiTheme="minorHAnsi" w:cs="Univers"/>
                          <w:color w:val="0D0D0D" w:themeColor="text1" w:themeTint="F2"/>
                          <w:sz w:val="20"/>
                          <w:szCs w:val="20"/>
                          <w:lang w:val="es-ES"/>
                        </w:rPr>
                      </w:pPr>
                    </w:p>
                    <w:p w14:paraId="3A96E95D" w14:textId="77777777" w:rsidR="00976B0F" w:rsidRPr="00167A34" w:rsidRDefault="00976B0F" w:rsidP="00A43858">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B49EB8A"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p>
    <w:p w14:paraId="7DDDC806"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p>
    <w:p w14:paraId="404F858A"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p>
    <w:p w14:paraId="45C2E69C"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p>
    <w:p w14:paraId="6115C297"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r w:rsidRPr="00A43858">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430C5DBC" wp14:editId="4C74DFE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txbx>
                        <w:txbxContent>
                          <w:p w14:paraId="2B918BD4" w14:textId="18745AB3" w:rsidR="00976B0F" w:rsidRPr="007C756A" w:rsidRDefault="00976B0F" w:rsidP="00A43858">
                            <w:pPr>
                              <w:spacing w:line="276" w:lineRule="auto"/>
                              <w:rPr>
                                <w:rFonts w:asciiTheme="majorHAnsi" w:hAnsiTheme="majorHAnsi"/>
                                <w:color w:val="595959" w:themeColor="text1" w:themeTint="A6"/>
                                <w:sz w:val="18"/>
                                <w:szCs w:val="18"/>
                                <w:lang w:val="es-US"/>
                              </w:rPr>
                            </w:pPr>
                            <w:r w:rsidRPr="003D6F27">
                              <w:rPr>
                                <w:rFonts w:asciiTheme="majorHAnsi" w:hAnsiTheme="majorHAnsi"/>
                                <w:b/>
                                <w:color w:val="595959" w:themeColor="text1" w:themeTint="A6"/>
                                <w:sz w:val="18"/>
                                <w:szCs w:val="18"/>
                                <w:lang w:val="pt-BR"/>
                              </w:rPr>
                              <w:t>Citar como:</w:t>
                            </w:r>
                            <w:r w:rsidR="00040359">
                              <w:rPr>
                                <w:rFonts w:asciiTheme="majorHAnsi" w:hAnsiTheme="majorHAnsi"/>
                                <w:color w:val="595959" w:themeColor="text1" w:themeTint="A6"/>
                                <w:sz w:val="18"/>
                                <w:szCs w:val="18"/>
                                <w:lang w:val="pt-BR"/>
                              </w:rPr>
                              <w:t xml:space="preserve"> CIDH. Informe No. 116</w:t>
                            </w:r>
                            <w:r>
                              <w:rPr>
                                <w:rFonts w:asciiTheme="majorHAnsi" w:hAnsiTheme="majorHAnsi"/>
                                <w:color w:val="595959" w:themeColor="text1" w:themeTint="A6"/>
                                <w:sz w:val="18"/>
                                <w:szCs w:val="18"/>
                                <w:lang w:val="pt-BR"/>
                              </w:rPr>
                              <w:t>/18</w:t>
                            </w:r>
                            <w:r w:rsidRPr="003D6F27">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Caso 12.975. Fondo. Julio Casa Nina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w:t>
                            </w:r>
                            <w:r>
                              <w:rPr>
                                <w:rFonts w:asciiTheme="majorHAnsi" w:hAnsiTheme="majorHAnsi"/>
                                <w:color w:val="595959" w:themeColor="text1" w:themeTint="A6"/>
                                <w:sz w:val="18"/>
                                <w:szCs w:val="18"/>
                                <w:lang w:val="es-VE"/>
                              </w:rPr>
                              <w:t>ú</w:t>
                            </w:r>
                            <w:r w:rsidRPr="00890650">
                              <w:rPr>
                                <w:rFonts w:asciiTheme="majorHAnsi" w:hAnsiTheme="majorHAnsi"/>
                                <w:color w:val="595959" w:themeColor="text1" w:themeTint="A6"/>
                                <w:sz w:val="18"/>
                                <w:szCs w:val="18"/>
                                <w:lang w:val="es-ES_tradnl"/>
                              </w:rPr>
                              <w:t xml:space="preserve">. </w:t>
                            </w:r>
                            <w:r w:rsidR="00040359">
                              <w:rPr>
                                <w:rFonts w:asciiTheme="majorHAnsi" w:hAnsiTheme="majorHAnsi"/>
                                <w:color w:val="595959" w:themeColor="text1" w:themeTint="A6"/>
                                <w:sz w:val="18"/>
                                <w:szCs w:val="18"/>
                                <w:lang w:val="es-US"/>
                              </w:rPr>
                              <w:t>5 de octubre de 2018</w:t>
                            </w:r>
                            <w:r w:rsidRPr="007C756A">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" filled="f" stroked="f" strokeweight=".5pt">
                <v:textbox>
                  <w:txbxContent>
                    <w:p w14:paraId="2B918BD4" w14:textId="18745AB3" w:rsidR="00976B0F" w:rsidRPr="007C756A" w:rsidRDefault="00976B0F" w:rsidP="00A43858">
                      <w:pPr>
                        <w:spacing w:line="276" w:lineRule="auto"/>
                        <w:rPr>
                          <w:rFonts w:asciiTheme="majorHAnsi" w:hAnsiTheme="majorHAnsi"/>
                          <w:color w:val="595959" w:themeColor="text1" w:themeTint="A6"/>
                          <w:sz w:val="18"/>
                          <w:szCs w:val="18"/>
                          <w:lang w:val="es-US"/>
                        </w:rPr>
                      </w:pPr>
                      <w:r w:rsidRPr="003D6F27">
                        <w:rPr>
                          <w:rFonts w:asciiTheme="majorHAnsi" w:hAnsiTheme="majorHAnsi"/>
                          <w:b/>
                          <w:color w:val="595959" w:themeColor="text1" w:themeTint="A6"/>
                          <w:sz w:val="18"/>
                          <w:szCs w:val="18"/>
                          <w:lang w:val="pt-BR"/>
                        </w:rPr>
                        <w:t>Citar como:</w:t>
                      </w:r>
                      <w:r w:rsidR="00040359">
                        <w:rPr>
                          <w:rFonts w:asciiTheme="majorHAnsi" w:hAnsiTheme="majorHAnsi"/>
                          <w:color w:val="595959" w:themeColor="text1" w:themeTint="A6"/>
                          <w:sz w:val="18"/>
                          <w:szCs w:val="18"/>
                          <w:lang w:val="pt-BR"/>
                        </w:rPr>
                        <w:t xml:space="preserve"> CIDH. Informe No. 116</w:t>
                      </w:r>
                      <w:r>
                        <w:rPr>
                          <w:rFonts w:asciiTheme="majorHAnsi" w:hAnsiTheme="majorHAnsi"/>
                          <w:color w:val="595959" w:themeColor="text1" w:themeTint="A6"/>
                          <w:sz w:val="18"/>
                          <w:szCs w:val="18"/>
                          <w:lang w:val="pt-BR"/>
                        </w:rPr>
                        <w:t>/18</w:t>
                      </w:r>
                      <w:r w:rsidRPr="003D6F27">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Caso 12.975. Fondo. Julio Casa Nina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w:t>
                      </w:r>
                      <w:r>
                        <w:rPr>
                          <w:rFonts w:asciiTheme="majorHAnsi" w:hAnsiTheme="majorHAnsi"/>
                          <w:color w:val="595959" w:themeColor="text1" w:themeTint="A6"/>
                          <w:sz w:val="18"/>
                          <w:szCs w:val="18"/>
                          <w:lang w:val="es-VE"/>
                        </w:rPr>
                        <w:t>ú</w:t>
                      </w:r>
                      <w:r w:rsidRPr="00890650">
                        <w:rPr>
                          <w:rFonts w:asciiTheme="majorHAnsi" w:hAnsiTheme="majorHAnsi"/>
                          <w:color w:val="595959" w:themeColor="text1" w:themeTint="A6"/>
                          <w:sz w:val="18"/>
                          <w:szCs w:val="18"/>
                          <w:lang w:val="es-ES_tradnl"/>
                        </w:rPr>
                        <w:t xml:space="preserve">. </w:t>
                      </w:r>
                      <w:r w:rsidR="00040359">
                        <w:rPr>
                          <w:rFonts w:asciiTheme="majorHAnsi" w:hAnsiTheme="majorHAnsi"/>
                          <w:color w:val="595959" w:themeColor="text1" w:themeTint="A6"/>
                          <w:sz w:val="18"/>
                          <w:szCs w:val="18"/>
                          <w:lang w:val="es-US"/>
                        </w:rPr>
                        <w:t>5 de octubre de 2018</w:t>
                      </w:r>
                      <w:r w:rsidRPr="007C756A">
                        <w:rPr>
                          <w:rFonts w:asciiTheme="majorHAnsi" w:hAnsiTheme="majorHAnsi"/>
                          <w:color w:val="595959" w:themeColor="text1" w:themeTint="A6"/>
                          <w:sz w:val="18"/>
                          <w:szCs w:val="18"/>
                          <w:lang w:val="es-US"/>
                        </w:rPr>
                        <w:t>.</w:t>
                      </w:r>
                    </w:p>
                  </w:txbxContent>
                </v:textbox>
              </v:shape>
            </w:pict>
          </mc:Fallback>
        </mc:AlternateContent>
      </w:r>
    </w:p>
    <w:p w14:paraId="1AD7057B" w14:textId="77777777" w:rsidR="00A43858" w:rsidRPr="00A43858" w:rsidRDefault="00A43858" w:rsidP="00FE05A0">
      <w:pPr>
        <w:tabs>
          <w:tab w:val="center" w:pos="5400"/>
        </w:tabs>
        <w:suppressAutoHyphens/>
        <w:jc w:val="center"/>
        <w:rPr>
          <w:rFonts w:asciiTheme="majorHAnsi" w:hAnsiTheme="majorHAnsi"/>
          <w:sz w:val="18"/>
          <w:szCs w:val="22"/>
          <w:lang w:val="es-ES_tradnl"/>
        </w:rPr>
      </w:pPr>
    </w:p>
    <w:p w14:paraId="45FA055E" w14:textId="77777777" w:rsidR="00A43858" w:rsidRPr="00A43858" w:rsidRDefault="00A43858" w:rsidP="00FE05A0">
      <w:pPr>
        <w:tabs>
          <w:tab w:val="center" w:pos="5400"/>
        </w:tabs>
        <w:suppressAutoHyphens/>
        <w:jc w:val="center"/>
        <w:rPr>
          <w:rFonts w:asciiTheme="majorHAnsi" w:hAnsiTheme="majorHAnsi"/>
          <w:b/>
          <w:sz w:val="20"/>
          <w:lang w:val="es-ES_tradnl"/>
        </w:rPr>
      </w:pPr>
      <w:r w:rsidRPr="00A43858">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3ABF266B" wp14:editId="5231ADD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ysClr val="window" lastClr="FFFFFF"/>
                        </a:solidFill>
                        <a:ln w="6350">
                          <a:noFill/>
                        </a:ln>
                        <a:effectLst/>
                      </wps:spPr>
                      <wps:txbx>
                        <w:txbxContent>
                          <w:p w14:paraId="772992D3" w14:textId="77777777" w:rsidR="00976B0F" w:rsidRPr="00D72DC6" w:rsidRDefault="00976B0F" w:rsidP="00A43858">
                            <w:pPr>
                              <w:rPr>
                                <w:color w:val="FFFFFF" w:themeColor="background1"/>
                                <w14:textFill>
                                  <w14:noFill/>
                                </w14:textFill>
                              </w:rPr>
                            </w:pPr>
                            <w:r w:rsidRPr="00D72DC6">
                              <w:rPr>
                                <w:noProof/>
                                <w:color w:val="FFFFFF" w:themeColor="background1"/>
                                <w14:textFill>
                                  <w14:noFill/>
                                </w14:textFill>
                              </w:rPr>
                              <w:drawing>
                                <wp:inline distT="0" distB="0" distL="0" distR="0" wp14:anchorId="78707B2A" wp14:editId="0E3204F4">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" fillcolor="window" stroked="f" strokeweight=".5pt">
                <v:textbox>
                  <w:txbxContent>
                    <w:p w14:paraId="772992D3" w14:textId="77777777" w:rsidR="00976B0F" w:rsidRPr="00D72DC6" w:rsidRDefault="00976B0F" w:rsidP="00A43858">
                      <w:pPr>
                        <w:rPr>
                          <w:color w:val="FFFFFF" w:themeColor="background1"/>
                          <w14:textFill>
                            <w14:noFill/>
                          </w14:textFill>
                        </w:rPr>
                      </w:pPr>
                      <w:r w:rsidRPr="00D72DC6">
                        <w:rPr>
                          <w:noProof/>
                          <w:color w:val="FFFFFF" w:themeColor="background1"/>
                          <w14:textFill>
                            <w14:noFill/>
                          </w14:textFill>
                        </w:rPr>
                        <w:drawing>
                          <wp:inline distT="0" distB="0" distL="0" distR="0" wp14:anchorId="78707B2A" wp14:editId="0E3204F4">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43858">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56E7CCB4" wp14:editId="15A4F1E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4533EEB0" w14:textId="77777777" w:rsidR="00976B0F" w:rsidRPr="004B7EB6" w:rsidRDefault="00976B0F" w:rsidP="00A43858">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" filled="f" stroked="f" strokeweight=".5pt">
                <v:textbox>
                  <w:txbxContent>
                    <w:p w14:paraId="4533EEB0" w14:textId="77777777" w:rsidR="00976B0F" w:rsidRPr="004B7EB6" w:rsidRDefault="00976B0F" w:rsidP="00A43858">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3ACBE24" w14:textId="77777777" w:rsidR="00A43858" w:rsidRPr="00A43858" w:rsidRDefault="00A43858" w:rsidP="00FE05A0">
      <w:pPr>
        <w:tabs>
          <w:tab w:val="center" w:pos="5400"/>
        </w:tabs>
        <w:suppressAutoHyphens/>
        <w:jc w:val="center"/>
        <w:rPr>
          <w:rFonts w:asciiTheme="majorHAnsi" w:hAnsiTheme="majorHAnsi"/>
          <w:b/>
          <w:sz w:val="20"/>
          <w:lang w:val="es-ES_tradnl"/>
        </w:rPr>
        <w:sectPr w:rsidR="00A43858" w:rsidRPr="00A43858" w:rsidSect="00C054DF">
          <w:headerReference w:type="even" r:id="rId13"/>
          <w:headerReference w:type="default"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3507407F" w14:textId="65C2C1B0" w:rsidR="00A43858" w:rsidRPr="00A43858" w:rsidRDefault="00040359" w:rsidP="007A385F">
      <w:pPr>
        <w:tabs>
          <w:tab w:val="center" w:pos="5400"/>
        </w:tabs>
        <w:suppressAutoHyphens/>
        <w:jc w:val="center"/>
        <w:rPr>
          <w:rFonts w:asciiTheme="majorHAnsi" w:hAnsiTheme="majorHAnsi"/>
          <w:b/>
          <w:sz w:val="18"/>
          <w:szCs w:val="20"/>
          <w:lang w:val="es-CL"/>
        </w:rPr>
      </w:pPr>
      <w:r>
        <w:rPr>
          <w:rFonts w:asciiTheme="majorHAnsi" w:hAnsiTheme="majorHAnsi"/>
          <w:b/>
          <w:sz w:val="18"/>
          <w:szCs w:val="20"/>
          <w:lang w:val="es-CL"/>
        </w:rPr>
        <w:lastRenderedPageBreak/>
        <w:t>INFORME No. 116</w:t>
      </w:r>
      <w:r w:rsidR="00A43858" w:rsidRPr="00A43858">
        <w:rPr>
          <w:rFonts w:asciiTheme="majorHAnsi" w:hAnsiTheme="majorHAnsi"/>
          <w:b/>
          <w:sz w:val="18"/>
          <w:szCs w:val="20"/>
          <w:lang w:val="es-CL"/>
        </w:rPr>
        <w:t>/</w:t>
      </w:r>
      <w:r w:rsidR="00CB5CD7">
        <w:rPr>
          <w:rFonts w:asciiTheme="majorHAnsi" w:hAnsiTheme="majorHAnsi"/>
          <w:b/>
          <w:sz w:val="18"/>
          <w:szCs w:val="20"/>
          <w:lang w:val="es-CL"/>
        </w:rPr>
        <w:t>18</w:t>
      </w:r>
    </w:p>
    <w:p w14:paraId="724224AC" w14:textId="77777777" w:rsidR="00A43858" w:rsidRPr="00A43858" w:rsidRDefault="00A43858" w:rsidP="007A385F">
      <w:pPr>
        <w:tabs>
          <w:tab w:val="center" w:pos="5400"/>
        </w:tabs>
        <w:suppressAutoHyphens/>
        <w:jc w:val="center"/>
        <w:rPr>
          <w:rFonts w:asciiTheme="majorHAnsi" w:hAnsiTheme="majorHAnsi"/>
          <w:b/>
          <w:sz w:val="18"/>
          <w:szCs w:val="20"/>
          <w:lang w:val="es-CL"/>
        </w:rPr>
      </w:pPr>
      <w:r w:rsidRPr="00A43858">
        <w:rPr>
          <w:rFonts w:asciiTheme="majorHAnsi" w:hAnsiTheme="majorHAnsi"/>
          <w:b/>
          <w:sz w:val="18"/>
          <w:szCs w:val="20"/>
          <w:lang w:val="es-CL"/>
        </w:rPr>
        <w:t>CASO 12.975</w:t>
      </w:r>
    </w:p>
    <w:p w14:paraId="6E85C0D5" w14:textId="77777777" w:rsidR="00A43858" w:rsidRPr="00A43858" w:rsidRDefault="00A43858" w:rsidP="007A385F">
      <w:pPr>
        <w:tabs>
          <w:tab w:val="center" w:pos="5400"/>
        </w:tabs>
        <w:suppressAutoHyphens/>
        <w:jc w:val="center"/>
        <w:rPr>
          <w:rFonts w:asciiTheme="majorHAnsi" w:hAnsiTheme="majorHAnsi"/>
          <w:sz w:val="18"/>
          <w:szCs w:val="20"/>
          <w:lang w:val="es-ES_tradnl"/>
        </w:rPr>
      </w:pPr>
      <w:r w:rsidRPr="00A43858">
        <w:rPr>
          <w:rFonts w:asciiTheme="majorHAnsi" w:hAnsiTheme="majorHAnsi"/>
          <w:sz w:val="18"/>
          <w:szCs w:val="20"/>
          <w:lang w:val="es-ES_tradnl"/>
        </w:rPr>
        <w:t>FONDO</w:t>
      </w:r>
    </w:p>
    <w:p w14:paraId="1C43B061" w14:textId="77777777" w:rsidR="00A43858" w:rsidRPr="00A43858" w:rsidRDefault="00A43858" w:rsidP="007A385F">
      <w:pPr>
        <w:tabs>
          <w:tab w:val="center" w:pos="5400"/>
        </w:tabs>
        <w:suppressAutoHyphens/>
        <w:jc w:val="center"/>
        <w:rPr>
          <w:rFonts w:asciiTheme="majorHAnsi" w:hAnsiTheme="majorHAnsi"/>
          <w:sz w:val="18"/>
          <w:szCs w:val="20"/>
          <w:lang w:val="es-ES_tradnl"/>
        </w:rPr>
      </w:pPr>
      <w:r w:rsidRPr="00A43858">
        <w:rPr>
          <w:rFonts w:asciiTheme="majorHAnsi" w:hAnsiTheme="majorHAnsi"/>
          <w:sz w:val="18"/>
          <w:szCs w:val="20"/>
          <w:lang w:val="es-ES_tradnl"/>
        </w:rPr>
        <w:t>JULIO CASA NINA</w:t>
      </w:r>
    </w:p>
    <w:p w14:paraId="6BD23C99" w14:textId="77777777" w:rsidR="00A43858" w:rsidRPr="00A43858" w:rsidRDefault="00A43858" w:rsidP="007A385F">
      <w:pPr>
        <w:tabs>
          <w:tab w:val="center" w:pos="5400"/>
        </w:tabs>
        <w:suppressAutoHyphens/>
        <w:jc w:val="center"/>
        <w:rPr>
          <w:rFonts w:asciiTheme="majorHAnsi" w:hAnsiTheme="majorHAnsi"/>
          <w:sz w:val="18"/>
          <w:szCs w:val="20"/>
          <w:lang w:val="es-ES_tradnl"/>
        </w:rPr>
      </w:pPr>
      <w:r w:rsidRPr="00A43858">
        <w:rPr>
          <w:rFonts w:asciiTheme="majorHAnsi" w:hAnsiTheme="majorHAnsi"/>
          <w:sz w:val="18"/>
          <w:szCs w:val="20"/>
          <w:lang w:val="es-ES_tradnl"/>
        </w:rPr>
        <w:t>PERÚ</w:t>
      </w:r>
    </w:p>
    <w:p w14:paraId="7B6B9EBB" w14:textId="0446E3E5" w:rsidR="00A43858" w:rsidRPr="00A43858" w:rsidRDefault="00040359" w:rsidP="007A385F">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5 DE OCTUBRE DE 2018</w:t>
      </w:r>
    </w:p>
    <w:p w14:paraId="6AB57487" w14:textId="77777777" w:rsidR="00A43858" w:rsidRPr="00A43858" w:rsidRDefault="00A43858" w:rsidP="00FE05A0">
      <w:pPr>
        <w:tabs>
          <w:tab w:val="center" w:pos="5400"/>
        </w:tabs>
        <w:suppressAutoHyphens/>
        <w:spacing w:line="276" w:lineRule="auto"/>
        <w:jc w:val="center"/>
        <w:rPr>
          <w:rFonts w:asciiTheme="majorHAnsi" w:hAnsiTheme="majorHAnsi"/>
          <w:sz w:val="18"/>
          <w:szCs w:val="20"/>
          <w:lang w:val="es-ES_tradnl"/>
        </w:rPr>
      </w:pPr>
    </w:p>
    <w:p w14:paraId="4E443DFA" w14:textId="77777777" w:rsidR="00A2378D" w:rsidRPr="007A385F" w:rsidRDefault="00A43858" w:rsidP="00FE05A0">
      <w:pPr>
        <w:tabs>
          <w:tab w:val="center" w:pos="5400"/>
        </w:tabs>
        <w:suppressAutoHyphens/>
        <w:spacing w:line="276" w:lineRule="auto"/>
        <w:jc w:val="center"/>
        <w:rPr>
          <w:rFonts w:asciiTheme="majorHAnsi" w:hAnsiTheme="majorHAnsi"/>
          <w:b/>
          <w:sz w:val="20"/>
          <w:szCs w:val="20"/>
          <w:lang w:val="es-ES_tradnl"/>
        </w:rPr>
      </w:pPr>
      <w:r w:rsidRPr="007A385F">
        <w:rPr>
          <w:rFonts w:asciiTheme="majorHAnsi" w:hAnsiTheme="majorHAnsi"/>
          <w:b/>
          <w:sz w:val="20"/>
          <w:szCs w:val="20"/>
          <w:lang w:val="es-ES_tradnl"/>
        </w:rPr>
        <w:t>ÍNDICE</w:t>
      </w:r>
    </w:p>
    <w:p w14:paraId="2B0A7EFB" w14:textId="77777777" w:rsidR="00A43858" w:rsidRPr="00A43858" w:rsidRDefault="00A43858" w:rsidP="00FE05A0">
      <w:pPr>
        <w:tabs>
          <w:tab w:val="center" w:pos="5400"/>
        </w:tabs>
        <w:suppressAutoHyphens/>
        <w:spacing w:line="276" w:lineRule="auto"/>
        <w:rPr>
          <w:rFonts w:asciiTheme="majorHAnsi" w:hAnsiTheme="majorHAnsi"/>
          <w:sz w:val="20"/>
          <w:szCs w:val="20"/>
          <w:lang w:val="es-ES_tradnl"/>
        </w:rPr>
      </w:pPr>
    </w:p>
    <w:sdt>
      <w:sdtPr>
        <w:rPr>
          <w:rFonts w:ascii="Times New Roman" w:eastAsia="Arial Unicode MS" w:hAnsi="Times New Roman" w:cs="Times New Roman"/>
          <w:b w:val="0"/>
          <w:bCs w:val="0"/>
          <w:color w:val="auto"/>
          <w:sz w:val="24"/>
          <w:szCs w:val="24"/>
          <w:bdr w:val="nil"/>
          <w:lang w:eastAsia="en-US"/>
        </w:rPr>
        <w:id w:val="-795442685"/>
        <w:docPartObj>
          <w:docPartGallery w:val="Table of Contents"/>
          <w:docPartUnique/>
        </w:docPartObj>
      </w:sdtPr>
      <w:sdtEndPr>
        <w:rPr>
          <w:noProof/>
        </w:rPr>
      </w:sdtEndPr>
      <w:sdtContent>
        <w:p w14:paraId="4CB630E2" w14:textId="77777777" w:rsidR="00FC7848" w:rsidRPr="00A2378D" w:rsidRDefault="00FC7848" w:rsidP="00FE05A0">
          <w:pPr>
            <w:pStyle w:val="TOCHeading"/>
            <w:spacing w:before="0"/>
            <w:rPr>
              <w:sz w:val="20"/>
              <w:szCs w:val="20"/>
            </w:rPr>
          </w:pPr>
        </w:p>
        <w:p w14:paraId="226A083C" w14:textId="657F951D" w:rsidR="00976B0F" w:rsidRPr="00976B0F" w:rsidRDefault="00FC7848" w:rsidP="00441034">
          <w:pPr>
            <w:pStyle w:val="TOC1"/>
            <w:tabs>
              <w:tab w:val="clear" w:pos="8820"/>
              <w:tab w:val="right" w:leader="dot" w:pos="8910"/>
            </w:tabs>
            <w:rPr>
              <w:rFonts w:asciiTheme="majorHAnsi" w:eastAsiaTheme="minorEastAsia" w:hAnsiTheme="majorHAnsi" w:cstheme="minorBidi"/>
              <w:noProof/>
              <w:sz w:val="20"/>
              <w:szCs w:val="20"/>
              <w:bdr w:val="none" w:sz="0" w:space="0" w:color="auto"/>
            </w:rPr>
          </w:pPr>
          <w:r w:rsidRPr="00DF7233">
            <w:fldChar w:fldCharType="begin"/>
          </w:r>
          <w:r w:rsidRPr="00B82998">
            <w:rPr>
              <w:lang w:val="es-VE"/>
            </w:rPr>
            <w:instrText xml:space="preserve"> TOC \o "1-3" \h \z \u </w:instrText>
          </w:r>
          <w:r w:rsidRPr="00DF7233">
            <w:fldChar w:fldCharType="separate"/>
          </w:r>
          <w:hyperlink w:anchor="_Toc521483527" w:history="1">
            <w:r w:rsidR="00976B0F" w:rsidRPr="00441034">
              <w:rPr>
                <w:rStyle w:val="Hyperlink"/>
                <w:rFonts w:asciiTheme="majorHAnsi" w:hAnsiTheme="majorHAnsi"/>
                <w:b/>
                <w:noProof/>
                <w:sz w:val="20"/>
                <w:szCs w:val="20"/>
                <w:lang w:val="es-ES_tradnl"/>
              </w:rPr>
              <w:t>I.</w:t>
            </w:r>
            <w:r w:rsidR="00976B0F" w:rsidRPr="00441034">
              <w:rPr>
                <w:rFonts w:asciiTheme="majorHAnsi" w:eastAsiaTheme="minorEastAsia" w:hAnsiTheme="majorHAnsi" w:cstheme="minorBidi"/>
                <w:b/>
                <w:noProof/>
                <w:sz w:val="20"/>
                <w:szCs w:val="20"/>
                <w:bdr w:val="none" w:sz="0" w:space="0" w:color="auto"/>
              </w:rPr>
              <w:tab/>
            </w:r>
            <w:r w:rsidR="00976B0F" w:rsidRPr="00441034">
              <w:rPr>
                <w:rStyle w:val="Hyperlink"/>
                <w:rFonts w:asciiTheme="majorHAnsi" w:hAnsiTheme="majorHAnsi"/>
                <w:b/>
                <w:noProof/>
                <w:sz w:val="20"/>
                <w:szCs w:val="20"/>
                <w:lang w:val="es-ES_tradnl"/>
              </w:rPr>
              <w:t>RESUMEN</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_Toc521483527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2</w:t>
            </w:r>
            <w:r w:rsidR="00976B0F" w:rsidRPr="00976B0F">
              <w:rPr>
                <w:rFonts w:asciiTheme="majorHAnsi" w:hAnsiTheme="majorHAnsi"/>
                <w:noProof/>
                <w:webHidden/>
                <w:sz w:val="20"/>
                <w:szCs w:val="20"/>
              </w:rPr>
              <w:fldChar w:fldCharType="end"/>
            </w:r>
          </w:hyperlink>
        </w:p>
        <w:p w14:paraId="58CAB897" w14:textId="230CF4E2" w:rsidR="00976B0F" w:rsidRPr="00976B0F" w:rsidRDefault="00A556F4" w:rsidP="00441034">
          <w:pPr>
            <w:pStyle w:val="TOC1"/>
            <w:tabs>
              <w:tab w:val="clear" w:pos="8820"/>
              <w:tab w:val="right" w:leader="dot" w:pos="8910"/>
            </w:tabs>
            <w:rPr>
              <w:rFonts w:asciiTheme="majorHAnsi" w:eastAsiaTheme="minorEastAsia" w:hAnsiTheme="majorHAnsi" w:cstheme="minorBidi"/>
              <w:noProof/>
              <w:sz w:val="20"/>
              <w:szCs w:val="20"/>
              <w:bdr w:val="none" w:sz="0" w:space="0" w:color="auto"/>
            </w:rPr>
          </w:pPr>
          <w:hyperlink w:anchor="_Toc521483528" w:history="1">
            <w:r w:rsidR="00976B0F" w:rsidRPr="00441034">
              <w:rPr>
                <w:rStyle w:val="Hyperlink"/>
                <w:rFonts w:asciiTheme="majorHAnsi" w:hAnsiTheme="majorHAnsi"/>
                <w:b/>
                <w:noProof/>
                <w:sz w:val="20"/>
                <w:szCs w:val="20"/>
                <w:lang w:val="es-ES_tradnl"/>
              </w:rPr>
              <w:t>II.</w:t>
            </w:r>
            <w:r w:rsidR="00976B0F" w:rsidRPr="00441034">
              <w:rPr>
                <w:rFonts w:asciiTheme="majorHAnsi" w:eastAsiaTheme="minorEastAsia" w:hAnsiTheme="majorHAnsi" w:cstheme="minorBidi"/>
                <w:b/>
                <w:noProof/>
                <w:sz w:val="20"/>
                <w:szCs w:val="20"/>
                <w:bdr w:val="none" w:sz="0" w:space="0" w:color="auto"/>
              </w:rPr>
              <w:tab/>
            </w:r>
            <w:r w:rsidR="00976B0F" w:rsidRPr="00441034">
              <w:rPr>
                <w:rStyle w:val="Hyperlink"/>
                <w:rFonts w:asciiTheme="majorHAnsi" w:hAnsiTheme="majorHAnsi"/>
                <w:b/>
                <w:noProof/>
                <w:sz w:val="20"/>
                <w:szCs w:val="20"/>
                <w:lang w:val="es-ES_tradnl"/>
              </w:rPr>
              <w:t>ALEGATOS DE LAS PARTES</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_Toc521483528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2</w:t>
            </w:r>
            <w:r w:rsidR="00976B0F" w:rsidRPr="00976B0F">
              <w:rPr>
                <w:rFonts w:asciiTheme="majorHAnsi" w:hAnsiTheme="majorHAnsi"/>
                <w:noProof/>
                <w:webHidden/>
                <w:sz w:val="20"/>
                <w:szCs w:val="20"/>
              </w:rPr>
              <w:fldChar w:fldCharType="end"/>
            </w:r>
          </w:hyperlink>
        </w:p>
        <w:p w14:paraId="74186E0A" w14:textId="0A0230FA" w:rsidR="00976B0F" w:rsidRPr="00976B0F" w:rsidRDefault="00A556F4" w:rsidP="00441034">
          <w:pPr>
            <w:pStyle w:val="TOC2"/>
            <w:tabs>
              <w:tab w:val="right" w:leader="dot" w:pos="8910"/>
            </w:tabs>
            <w:ind w:right="-90"/>
            <w:rPr>
              <w:rFonts w:asciiTheme="majorHAnsi" w:eastAsiaTheme="minorEastAsia" w:hAnsiTheme="majorHAnsi" w:cstheme="minorBidi"/>
              <w:noProof/>
              <w:sz w:val="20"/>
              <w:szCs w:val="20"/>
              <w:bdr w:val="none" w:sz="0" w:space="0" w:color="auto"/>
            </w:rPr>
          </w:pPr>
          <w:hyperlink w:anchor="_Toc521483529" w:history="1">
            <w:r w:rsidR="00976B0F" w:rsidRPr="00976B0F">
              <w:rPr>
                <w:rStyle w:val="Hyperlink"/>
                <w:rFonts w:asciiTheme="majorHAnsi" w:hAnsiTheme="majorHAnsi"/>
                <w:noProof/>
                <w:sz w:val="20"/>
                <w:szCs w:val="20"/>
                <w:lang w:val="es-ES_tradnl"/>
              </w:rPr>
              <w:t>A.</w:t>
            </w:r>
            <w:r w:rsidR="00976B0F" w:rsidRPr="00976B0F">
              <w:rPr>
                <w:rFonts w:asciiTheme="majorHAnsi" w:eastAsiaTheme="minorEastAsia" w:hAnsiTheme="majorHAnsi" w:cstheme="minorBidi"/>
                <w:noProof/>
                <w:sz w:val="20"/>
                <w:szCs w:val="20"/>
                <w:bdr w:val="none" w:sz="0" w:space="0" w:color="auto"/>
              </w:rPr>
              <w:tab/>
            </w:r>
            <w:r w:rsidR="00976B0F" w:rsidRPr="00976B0F">
              <w:rPr>
                <w:rStyle w:val="Hyperlink"/>
                <w:rFonts w:asciiTheme="majorHAnsi" w:hAnsiTheme="majorHAnsi"/>
                <w:noProof/>
                <w:sz w:val="20"/>
                <w:szCs w:val="20"/>
                <w:lang w:val="es-ES_tradnl"/>
              </w:rPr>
              <w:t>Parte peticionaria</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_Toc521483529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2</w:t>
            </w:r>
            <w:r w:rsidR="00976B0F" w:rsidRPr="00976B0F">
              <w:rPr>
                <w:rFonts w:asciiTheme="majorHAnsi" w:hAnsiTheme="majorHAnsi"/>
                <w:noProof/>
                <w:webHidden/>
                <w:sz w:val="20"/>
                <w:szCs w:val="20"/>
              </w:rPr>
              <w:fldChar w:fldCharType="end"/>
            </w:r>
          </w:hyperlink>
        </w:p>
        <w:p w14:paraId="68427921" w14:textId="3AF3E1E8" w:rsidR="00976B0F" w:rsidRPr="00976B0F" w:rsidRDefault="00A556F4" w:rsidP="00441034">
          <w:pPr>
            <w:pStyle w:val="TOC2"/>
            <w:tabs>
              <w:tab w:val="right" w:leader="dot" w:pos="8910"/>
            </w:tabs>
            <w:ind w:right="-90"/>
            <w:rPr>
              <w:rFonts w:asciiTheme="majorHAnsi" w:eastAsiaTheme="minorEastAsia" w:hAnsiTheme="majorHAnsi" w:cstheme="minorBidi"/>
              <w:noProof/>
              <w:sz w:val="20"/>
              <w:szCs w:val="20"/>
              <w:bdr w:val="none" w:sz="0" w:space="0" w:color="auto"/>
            </w:rPr>
          </w:pPr>
          <w:hyperlink w:anchor="_Toc521483530" w:history="1">
            <w:r w:rsidR="00976B0F" w:rsidRPr="00976B0F">
              <w:rPr>
                <w:rStyle w:val="Hyperlink"/>
                <w:rFonts w:asciiTheme="majorHAnsi" w:hAnsiTheme="majorHAnsi"/>
                <w:noProof/>
                <w:sz w:val="20"/>
                <w:szCs w:val="20"/>
                <w:lang w:val="es-ES_tradnl"/>
              </w:rPr>
              <w:t>B.</w:t>
            </w:r>
            <w:r w:rsidR="00976B0F" w:rsidRPr="00976B0F">
              <w:rPr>
                <w:rFonts w:asciiTheme="majorHAnsi" w:eastAsiaTheme="minorEastAsia" w:hAnsiTheme="majorHAnsi" w:cstheme="minorBidi"/>
                <w:noProof/>
                <w:sz w:val="20"/>
                <w:szCs w:val="20"/>
                <w:bdr w:val="none" w:sz="0" w:space="0" w:color="auto"/>
              </w:rPr>
              <w:tab/>
            </w:r>
            <w:r w:rsidR="00976B0F" w:rsidRPr="00976B0F">
              <w:rPr>
                <w:rStyle w:val="Hyperlink"/>
                <w:rFonts w:asciiTheme="majorHAnsi" w:hAnsiTheme="majorHAnsi"/>
                <w:noProof/>
                <w:sz w:val="20"/>
                <w:szCs w:val="20"/>
                <w:lang w:val="es-ES_tradnl"/>
              </w:rPr>
              <w:t>Estado</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_Toc521483530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4</w:t>
            </w:r>
            <w:r w:rsidR="00976B0F" w:rsidRPr="00976B0F">
              <w:rPr>
                <w:rFonts w:asciiTheme="majorHAnsi" w:hAnsiTheme="majorHAnsi"/>
                <w:noProof/>
                <w:webHidden/>
                <w:sz w:val="20"/>
                <w:szCs w:val="20"/>
              </w:rPr>
              <w:fldChar w:fldCharType="end"/>
            </w:r>
          </w:hyperlink>
        </w:p>
        <w:p w14:paraId="592DDECC" w14:textId="421729AF" w:rsidR="00976B0F" w:rsidRPr="00976B0F" w:rsidRDefault="00A556F4" w:rsidP="00441034">
          <w:pPr>
            <w:pStyle w:val="TOC1"/>
            <w:tabs>
              <w:tab w:val="clear" w:pos="8820"/>
              <w:tab w:val="right" w:leader="dot" w:pos="8910"/>
            </w:tabs>
            <w:rPr>
              <w:rFonts w:asciiTheme="majorHAnsi" w:eastAsiaTheme="minorEastAsia" w:hAnsiTheme="majorHAnsi" w:cstheme="minorBidi"/>
              <w:noProof/>
              <w:sz w:val="20"/>
              <w:szCs w:val="20"/>
              <w:bdr w:val="none" w:sz="0" w:space="0" w:color="auto"/>
            </w:rPr>
          </w:pPr>
          <w:hyperlink w:anchor="_Toc521483531" w:history="1">
            <w:r w:rsidR="00976B0F" w:rsidRPr="00441034">
              <w:rPr>
                <w:rStyle w:val="Hyperlink"/>
                <w:rFonts w:asciiTheme="majorHAnsi" w:hAnsiTheme="majorHAnsi"/>
                <w:b/>
                <w:noProof/>
                <w:sz w:val="20"/>
                <w:szCs w:val="20"/>
                <w:lang w:val="es-ES_tradnl"/>
              </w:rPr>
              <w:t>III.</w:t>
            </w:r>
            <w:r w:rsidR="00976B0F" w:rsidRPr="00441034">
              <w:rPr>
                <w:rFonts w:asciiTheme="majorHAnsi" w:eastAsiaTheme="minorEastAsia" w:hAnsiTheme="majorHAnsi" w:cstheme="minorBidi"/>
                <w:b/>
                <w:noProof/>
                <w:sz w:val="20"/>
                <w:szCs w:val="20"/>
                <w:bdr w:val="none" w:sz="0" w:space="0" w:color="auto"/>
              </w:rPr>
              <w:tab/>
            </w:r>
            <w:r w:rsidR="00976B0F" w:rsidRPr="00441034">
              <w:rPr>
                <w:rStyle w:val="Hyperlink"/>
                <w:rFonts w:asciiTheme="majorHAnsi" w:hAnsiTheme="majorHAnsi"/>
                <w:b/>
                <w:noProof/>
                <w:sz w:val="20"/>
                <w:szCs w:val="20"/>
                <w:lang w:val="es-ES_tradnl"/>
              </w:rPr>
              <w:t>DETERMINACIONES DE HECHO</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_Toc521483531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5</w:t>
            </w:r>
            <w:r w:rsidR="00976B0F" w:rsidRPr="00976B0F">
              <w:rPr>
                <w:rFonts w:asciiTheme="majorHAnsi" w:hAnsiTheme="majorHAnsi"/>
                <w:noProof/>
                <w:webHidden/>
                <w:sz w:val="20"/>
                <w:szCs w:val="20"/>
              </w:rPr>
              <w:fldChar w:fldCharType="end"/>
            </w:r>
          </w:hyperlink>
        </w:p>
        <w:p w14:paraId="4FC922F5" w14:textId="5A2D2553" w:rsidR="00976B0F" w:rsidRPr="00976B0F" w:rsidRDefault="00A556F4" w:rsidP="00441034">
          <w:pPr>
            <w:pStyle w:val="TOC2"/>
            <w:tabs>
              <w:tab w:val="right" w:leader="dot" w:pos="8910"/>
            </w:tabs>
            <w:ind w:right="-90"/>
            <w:rPr>
              <w:rFonts w:asciiTheme="majorHAnsi" w:eastAsiaTheme="minorEastAsia" w:hAnsiTheme="majorHAnsi" w:cstheme="minorBidi"/>
              <w:noProof/>
              <w:sz w:val="20"/>
              <w:szCs w:val="20"/>
              <w:bdr w:val="none" w:sz="0" w:space="0" w:color="auto"/>
            </w:rPr>
          </w:pPr>
          <w:hyperlink w:anchor="_Toc521483532" w:history="1">
            <w:r w:rsidR="00976B0F" w:rsidRPr="00976B0F">
              <w:rPr>
                <w:rStyle w:val="Hyperlink"/>
                <w:rFonts w:asciiTheme="majorHAnsi" w:hAnsiTheme="majorHAnsi"/>
                <w:noProof/>
                <w:sz w:val="20"/>
                <w:szCs w:val="20"/>
                <w:lang w:val="es-ES_tradnl"/>
              </w:rPr>
              <w:t>A.</w:t>
            </w:r>
            <w:r w:rsidR="00976B0F" w:rsidRPr="00976B0F">
              <w:rPr>
                <w:rFonts w:asciiTheme="majorHAnsi" w:eastAsiaTheme="minorEastAsia" w:hAnsiTheme="majorHAnsi" w:cstheme="minorBidi"/>
                <w:noProof/>
                <w:sz w:val="20"/>
                <w:szCs w:val="20"/>
                <w:bdr w:val="none" w:sz="0" w:space="0" w:color="auto"/>
              </w:rPr>
              <w:tab/>
            </w:r>
            <w:r w:rsidR="00976B0F" w:rsidRPr="00976B0F">
              <w:rPr>
                <w:rStyle w:val="Hyperlink"/>
                <w:rFonts w:asciiTheme="majorHAnsi" w:hAnsiTheme="majorHAnsi"/>
                <w:noProof/>
                <w:sz w:val="20"/>
                <w:szCs w:val="20"/>
                <w:lang w:val="es-ES_tradnl"/>
              </w:rPr>
              <w:t>Sobre los nombramientos de la presunta víctima</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_Toc521483532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5</w:t>
            </w:r>
            <w:r w:rsidR="00976B0F" w:rsidRPr="00976B0F">
              <w:rPr>
                <w:rFonts w:asciiTheme="majorHAnsi" w:hAnsiTheme="majorHAnsi"/>
                <w:noProof/>
                <w:webHidden/>
                <w:sz w:val="20"/>
                <w:szCs w:val="20"/>
              </w:rPr>
              <w:fldChar w:fldCharType="end"/>
            </w:r>
          </w:hyperlink>
        </w:p>
        <w:p w14:paraId="724EEB97" w14:textId="72AD806A" w:rsidR="00976B0F" w:rsidRPr="00976B0F" w:rsidRDefault="00A556F4" w:rsidP="00441034">
          <w:pPr>
            <w:pStyle w:val="TOC2"/>
            <w:tabs>
              <w:tab w:val="right" w:leader="dot" w:pos="8910"/>
            </w:tabs>
            <w:ind w:right="-90"/>
            <w:rPr>
              <w:rFonts w:asciiTheme="majorHAnsi" w:eastAsiaTheme="minorEastAsia" w:hAnsiTheme="majorHAnsi" w:cstheme="minorBidi"/>
              <w:noProof/>
              <w:sz w:val="20"/>
              <w:szCs w:val="20"/>
              <w:bdr w:val="none" w:sz="0" w:space="0" w:color="auto"/>
            </w:rPr>
          </w:pPr>
          <w:hyperlink w:anchor="_Toc521483533" w:history="1">
            <w:r w:rsidR="00976B0F" w:rsidRPr="00976B0F">
              <w:rPr>
                <w:rStyle w:val="Hyperlink"/>
                <w:rFonts w:asciiTheme="majorHAnsi" w:hAnsiTheme="majorHAnsi"/>
                <w:noProof/>
                <w:sz w:val="20"/>
                <w:szCs w:val="20"/>
                <w:lang w:val="es-ES_tradnl"/>
              </w:rPr>
              <w:t>B.</w:t>
            </w:r>
            <w:r w:rsidR="00976B0F" w:rsidRPr="00976B0F">
              <w:rPr>
                <w:rFonts w:asciiTheme="majorHAnsi" w:eastAsiaTheme="minorEastAsia" w:hAnsiTheme="majorHAnsi" w:cstheme="minorBidi"/>
                <w:noProof/>
                <w:sz w:val="20"/>
                <w:szCs w:val="20"/>
                <w:bdr w:val="none" w:sz="0" w:space="0" w:color="auto"/>
              </w:rPr>
              <w:tab/>
            </w:r>
            <w:r w:rsidR="00976B0F" w:rsidRPr="00976B0F">
              <w:rPr>
                <w:rStyle w:val="Hyperlink"/>
                <w:rFonts w:asciiTheme="majorHAnsi" w:hAnsiTheme="majorHAnsi"/>
                <w:noProof/>
                <w:sz w:val="20"/>
                <w:szCs w:val="20"/>
                <w:lang w:val="es-ES_tradnl"/>
              </w:rPr>
              <w:t>Sobre la terminación del nombramiento de la presunta víctima</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_Toc521483533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5</w:t>
            </w:r>
            <w:r w:rsidR="00976B0F" w:rsidRPr="00976B0F">
              <w:rPr>
                <w:rFonts w:asciiTheme="majorHAnsi" w:hAnsiTheme="majorHAnsi"/>
                <w:noProof/>
                <w:webHidden/>
                <w:sz w:val="20"/>
                <w:szCs w:val="20"/>
              </w:rPr>
              <w:fldChar w:fldCharType="end"/>
            </w:r>
          </w:hyperlink>
        </w:p>
        <w:p w14:paraId="58B0F0D9" w14:textId="5E95A12D" w:rsidR="00976B0F" w:rsidRPr="00976B0F" w:rsidRDefault="00A556F4" w:rsidP="00441034">
          <w:pPr>
            <w:pStyle w:val="TOC2"/>
            <w:tabs>
              <w:tab w:val="right" w:leader="dot" w:pos="8910"/>
            </w:tabs>
            <w:ind w:right="-90"/>
            <w:rPr>
              <w:rFonts w:asciiTheme="majorHAnsi" w:eastAsiaTheme="minorEastAsia" w:hAnsiTheme="majorHAnsi" w:cstheme="minorBidi"/>
              <w:noProof/>
              <w:sz w:val="20"/>
              <w:szCs w:val="20"/>
              <w:bdr w:val="none" w:sz="0" w:space="0" w:color="auto"/>
            </w:rPr>
          </w:pPr>
          <w:hyperlink w:anchor="_Toc521483534" w:history="1">
            <w:r w:rsidR="00976B0F" w:rsidRPr="00976B0F">
              <w:rPr>
                <w:rStyle w:val="Hyperlink"/>
                <w:rFonts w:asciiTheme="majorHAnsi" w:hAnsiTheme="majorHAnsi"/>
                <w:noProof/>
                <w:sz w:val="20"/>
                <w:szCs w:val="20"/>
                <w:lang w:val="es-ES_tradnl"/>
              </w:rPr>
              <w:t>C.</w:t>
            </w:r>
            <w:r w:rsidR="00976B0F" w:rsidRPr="00976B0F">
              <w:rPr>
                <w:rFonts w:asciiTheme="majorHAnsi" w:eastAsiaTheme="minorEastAsia" w:hAnsiTheme="majorHAnsi" w:cstheme="minorBidi"/>
                <w:noProof/>
                <w:sz w:val="20"/>
                <w:szCs w:val="20"/>
                <w:bdr w:val="none" w:sz="0" w:space="0" w:color="auto"/>
              </w:rPr>
              <w:tab/>
            </w:r>
            <w:r w:rsidR="00976B0F" w:rsidRPr="00976B0F">
              <w:rPr>
                <w:rStyle w:val="Hyperlink"/>
                <w:rFonts w:asciiTheme="majorHAnsi" w:hAnsiTheme="majorHAnsi"/>
                <w:noProof/>
                <w:sz w:val="20"/>
                <w:szCs w:val="20"/>
                <w:lang w:val="es-ES_tradnl"/>
              </w:rPr>
              <w:t>Sobre los mecanismos de impugnación presentados</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_Toc521483534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6</w:t>
            </w:r>
            <w:r w:rsidR="00976B0F" w:rsidRPr="00976B0F">
              <w:rPr>
                <w:rFonts w:asciiTheme="majorHAnsi" w:hAnsiTheme="majorHAnsi"/>
                <w:noProof/>
                <w:webHidden/>
                <w:sz w:val="20"/>
                <w:szCs w:val="20"/>
              </w:rPr>
              <w:fldChar w:fldCharType="end"/>
            </w:r>
          </w:hyperlink>
        </w:p>
        <w:p w14:paraId="17148B61" w14:textId="388A1107" w:rsidR="00976B0F" w:rsidRPr="00976B0F" w:rsidRDefault="00A556F4" w:rsidP="00441034">
          <w:pPr>
            <w:pStyle w:val="TOC3"/>
            <w:tabs>
              <w:tab w:val="left" w:pos="2160"/>
              <w:tab w:val="right" w:leader="dot" w:pos="8910"/>
            </w:tabs>
            <w:ind w:right="-90"/>
            <w:rPr>
              <w:rFonts w:asciiTheme="majorHAnsi" w:eastAsiaTheme="minorEastAsia" w:hAnsiTheme="majorHAnsi" w:cstheme="minorBidi"/>
              <w:noProof/>
              <w:sz w:val="20"/>
              <w:szCs w:val="20"/>
              <w:bdr w:val="none" w:sz="0" w:space="0" w:color="auto"/>
            </w:rPr>
          </w:pPr>
          <w:hyperlink w:anchor="_Toc521483535" w:history="1">
            <w:r w:rsidR="00976B0F" w:rsidRPr="00976B0F">
              <w:rPr>
                <w:rStyle w:val="Hyperlink"/>
                <w:rFonts w:asciiTheme="majorHAnsi" w:hAnsiTheme="majorHAnsi"/>
                <w:noProof/>
                <w:sz w:val="20"/>
                <w:szCs w:val="20"/>
                <w:lang w:val="es-VE"/>
              </w:rPr>
              <w:t>1.</w:t>
            </w:r>
            <w:r w:rsidR="00976B0F" w:rsidRPr="00976B0F">
              <w:rPr>
                <w:rFonts w:asciiTheme="majorHAnsi" w:eastAsiaTheme="minorEastAsia" w:hAnsiTheme="majorHAnsi" w:cstheme="minorBidi"/>
                <w:noProof/>
                <w:sz w:val="20"/>
                <w:szCs w:val="20"/>
                <w:bdr w:val="none" w:sz="0" w:space="0" w:color="auto"/>
              </w:rPr>
              <w:tab/>
            </w:r>
            <w:r w:rsidR="00976B0F" w:rsidRPr="00976B0F">
              <w:rPr>
                <w:rStyle w:val="Hyperlink"/>
                <w:rFonts w:asciiTheme="majorHAnsi" w:hAnsiTheme="majorHAnsi"/>
                <w:noProof/>
                <w:sz w:val="20"/>
                <w:szCs w:val="20"/>
                <w:lang w:val="es-VE"/>
              </w:rPr>
              <w:t>Recurso de reconsideración</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_Toc521483535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6</w:t>
            </w:r>
            <w:r w:rsidR="00976B0F" w:rsidRPr="00976B0F">
              <w:rPr>
                <w:rFonts w:asciiTheme="majorHAnsi" w:hAnsiTheme="majorHAnsi"/>
                <w:noProof/>
                <w:webHidden/>
                <w:sz w:val="20"/>
                <w:szCs w:val="20"/>
              </w:rPr>
              <w:fldChar w:fldCharType="end"/>
            </w:r>
          </w:hyperlink>
        </w:p>
        <w:p w14:paraId="0A33B3DA" w14:textId="7EB3E5A0" w:rsidR="00976B0F" w:rsidRPr="00976B0F" w:rsidRDefault="00A556F4" w:rsidP="00441034">
          <w:pPr>
            <w:pStyle w:val="TOC3"/>
            <w:tabs>
              <w:tab w:val="left" w:pos="2160"/>
              <w:tab w:val="right" w:leader="dot" w:pos="8910"/>
            </w:tabs>
            <w:ind w:right="-90"/>
            <w:rPr>
              <w:rFonts w:asciiTheme="majorHAnsi" w:eastAsiaTheme="minorEastAsia" w:hAnsiTheme="majorHAnsi" w:cstheme="minorBidi"/>
              <w:noProof/>
              <w:sz w:val="20"/>
              <w:szCs w:val="20"/>
              <w:bdr w:val="none" w:sz="0" w:space="0" w:color="auto"/>
            </w:rPr>
          </w:pPr>
          <w:hyperlink w:anchor="_Toc521483536" w:history="1">
            <w:r w:rsidR="00976B0F" w:rsidRPr="00976B0F">
              <w:rPr>
                <w:rStyle w:val="Hyperlink"/>
                <w:rFonts w:asciiTheme="majorHAnsi" w:hAnsiTheme="majorHAnsi"/>
                <w:noProof/>
                <w:sz w:val="20"/>
                <w:szCs w:val="20"/>
                <w:lang w:val="es-VE"/>
              </w:rPr>
              <w:t>2.</w:t>
            </w:r>
            <w:r w:rsidR="00976B0F" w:rsidRPr="00976B0F">
              <w:rPr>
                <w:rFonts w:asciiTheme="majorHAnsi" w:eastAsiaTheme="minorEastAsia" w:hAnsiTheme="majorHAnsi" w:cstheme="minorBidi"/>
                <w:noProof/>
                <w:sz w:val="20"/>
                <w:szCs w:val="20"/>
                <w:bdr w:val="none" w:sz="0" w:space="0" w:color="auto"/>
              </w:rPr>
              <w:tab/>
            </w:r>
            <w:r w:rsidR="00976B0F" w:rsidRPr="00976B0F">
              <w:rPr>
                <w:rStyle w:val="Hyperlink"/>
                <w:rFonts w:asciiTheme="majorHAnsi" w:hAnsiTheme="majorHAnsi"/>
                <w:noProof/>
                <w:sz w:val="20"/>
                <w:szCs w:val="20"/>
                <w:lang w:val="es-VE"/>
              </w:rPr>
              <w:t>Acción de Amparo</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_Toc521483536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6</w:t>
            </w:r>
            <w:r w:rsidR="00976B0F" w:rsidRPr="00976B0F">
              <w:rPr>
                <w:rFonts w:asciiTheme="majorHAnsi" w:hAnsiTheme="majorHAnsi"/>
                <w:noProof/>
                <w:webHidden/>
                <w:sz w:val="20"/>
                <w:szCs w:val="20"/>
              </w:rPr>
              <w:fldChar w:fldCharType="end"/>
            </w:r>
          </w:hyperlink>
        </w:p>
        <w:p w14:paraId="7C875ABA" w14:textId="1D190EA3" w:rsidR="00976B0F" w:rsidRPr="00976B0F" w:rsidRDefault="00A556F4" w:rsidP="00441034">
          <w:pPr>
            <w:pStyle w:val="TOC3"/>
            <w:tabs>
              <w:tab w:val="left" w:pos="2160"/>
              <w:tab w:val="right" w:leader="dot" w:pos="8910"/>
            </w:tabs>
            <w:ind w:right="-90"/>
            <w:rPr>
              <w:rFonts w:asciiTheme="majorHAnsi" w:eastAsiaTheme="minorEastAsia" w:hAnsiTheme="majorHAnsi" w:cstheme="minorBidi"/>
              <w:noProof/>
              <w:sz w:val="20"/>
              <w:szCs w:val="20"/>
              <w:bdr w:val="none" w:sz="0" w:space="0" w:color="auto"/>
            </w:rPr>
          </w:pPr>
          <w:hyperlink w:anchor="_Toc521483537" w:history="1">
            <w:r w:rsidR="00976B0F" w:rsidRPr="00976B0F">
              <w:rPr>
                <w:rStyle w:val="Hyperlink"/>
                <w:rFonts w:asciiTheme="majorHAnsi" w:hAnsiTheme="majorHAnsi"/>
                <w:noProof/>
                <w:sz w:val="20"/>
                <w:szCs w:val="20"/>
                <w:lang w:val="es-VE"/>
              </w:rPr>
              <w:t>3.</w:t>
            </w:r>
            <w:r w:rsidR="00976B0F" w:rsidRPr="00976B0F">
              <w:rPr>
                <w:rFonts w:asciiTheme="majorHAnsi" w:eastAsiaTheme="minorEastAsia" w:hAnsiTheme="majorHAnsi" w:cstheme="minorBidi"/>
                <w:noProof/>
                <w:sz w:val="20"/>
                <w:szCs w:val="20"/>
                <w:bdr w:val="none" w:sz="0" w:space="0" w:color="auto"/>
              </w:rPr>
              <w:tab/>
            </w:r>
            <w:r w:rsidR="00976B0F" w:rsidRPr="00976B0F">
              <w:rPr>
                <w:rStyle w:val="Hyperlink"/>
                <w:rFonts w:asciiTheme="majorHAnsi" w:hAnsiTheme="majorHAnsi"/>
                <w:noProof/>
                <w:sz w:val="20"/>
                <w:szCs w:val="20"/>
                <w:lang w:val="es-VE"/>
              </w:rPr>
              <w:t>Recurso de apelación y de agravio constitucional</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_Toc521483537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7</w:t>
            </w:r>
            <w:r w:rsidR="00976B0F" w:rsidRPr="00976B0F">
              <w:rPr>
                <w:rFonts w:asciiTheme="majorHAnsi" w:hAnsiTheme="majorHAnsi"/>
                <w:noProof/>
                <w:webHidden/>
                <w:sz w:val="20"/>
                <w:szCs w:val="20"/>
              </w:rPr>
              <w:fldChar w:fldCharType="end"/>
            </w:r>
          </w:hyperlink>
        </w:p>
        <w:p w14:paraId="6FB09C09" w14:textId="49315EC0" w:rsidR="00976B0F" w:rsidRPr="00976B0F" w:rsidRDefault="00A556F4" w:rsidP="00441034">
          <w:pPr>
            <w:pStyle w:val="TOC1"/>
            <w:tabs>
              <w:tab w:val="clear" w:pos="8820"/>
              <w:tab w:val="right" w:leader="dot" w:pos="8910"/>
            </w:tabs>
            <w:rPr>
              <w:rFonts w:asciiTheme="majorHAnsi" w:eastAsiaTheme="minorEastAsia" w:hAnsiTheme="majorHAnsi" w:cstheme="minorBidi"/>
              <w:noProof/>
              <w:sz w:val="20"/>
              <w:szCs w:val="20"/>
              <w:bdr w:val="none" w:sz="0" w:space="0" w:color="auto"/>
            </w:rPr>
          </w:pPr>
          <w:hyperlink w:anchor="_Toc521483538" w:history="1">
            <w:r w:rsidR="00976B0F" w:rsidRPr="00441034">
              <w:rPr>
                <w:rStyle w:val="Hyperlink"/>
                <w:rFonts w:asciiTheme="majorHAnsi" w:hAnsiTheme="majorHAnsi"/>
                <w:b/>
                <w:noProof/>
                <w:sz w:val="20"/>
                <w:szCs w:val="20"/>
                <w:lang w:val="es-ES_tradnl"/>
              </w:rPr>
              <w:t>IV.</w:t>
            </w:r>
            <w:r w:rsidR="00976B0F" w:rsidRPr="00441034">
              <w:rPr>
                <w:rFonts w:asciiTheme="majorHAnsi" w:eastAsiaTheme="minorEastAsia" w:hAnsiTheme="majorHAnsi" w:cstheme="minorBidi"/>
                <w:b/>
                <w:noProof/>
                <w:sz w:val="20"/>
                <w:szCs w:val="20"/>
                <w:bdr w:val="none" w:sz="0" w:space="0" w:color="auto"/>
              </w:rPr>
              <w:tab/>
            </w:r>
            <w:r w:rsidR="00976B0F" w:rsidRPr="00441034">
              <w:rPr>
                <w:rStyle w:val="Hyperlink"/>
                <w:rFonts w:asciiTheme="majorHAnsi" w:hAnsiTheme="majorHAnsi"/>
                <w:b/>
                <w:noProof/>
                <w:sz w:val="20"/>
                <w:szCs w:val="20"/>
                <w:lang w:val="es-ES_tradnl"/>
              </w:rPr>
              <w:t>ANÁLISIS DE DERECHO</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_Toc521483538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8</w:t>
            </w:r>
            <w:r w:rsidR="00976B0F" w:rsidRPr="00976B0F">
              <w:rPr>
                <w:rFonts w:asciiTheme="majorHAnsi" w:hAnsiTheme="majorHAnsi"/>
                <w:noProof/>
                <w:webHidden/>
                <w:sz w:val="20"/>
                <w:szCs w:val="20"/>
              </w:rPr>
              <w:fldChar w:fldCharType="end"/>
            </w:r>
          </w:hyperlink>
        </w:p>
        <w:p w14:paraId="655EF8E2" w14:textId="33B45BA4" w:rsidR="00976B0F" w:rsidRPr="00976B0F" w:rsidRDefault="00A556F4" w:rsidP="00441034">
          <w:pPr>
            <w:pStyle w:val="TOC2"/>
            <w:tabs>
              <w:tab w:val="right" w:leader="dot" w:pos="8910"/>
            </w:tabs>
            <w:ind w:right="-90"/>
            <w:rPr>
              <w:rFonts w:asciiTheme="majorHAnsi" w:eastAsiaTheme="minorEastAsia" w:hAnsiTheme="majorHAnsi" w:cstheme="minorBidi"/>
              <w:noProof/>
              <w:sz w:val="20"/>
              <w:szCs w:val="20"/>
              <w:bdr w:val="none" w:sz="0" w:space="0" w:color="auto"/>
            </w:rPr>
          </w:pPr>
          <w:hyperlink w:anchor="_Toc521483539" w:history="1">
            <w:r w:rsidR="00976B0F" w:rsidRPr="00976B0F">
              <w:rPr>
                <w:rStyle w:val="Hyperlink"/>
                <w:rFonts w:asciiTheme="majorHAnsi" w:hAnsiTheme="majorHAnsi"/>
                <w:noProof/>
                <w:sz w:val="20"/>
                <w:szCs w:val="20"/>
                <w:lang w:val="es-ES_tradnl"/>
              </w:rPr>
              <w:t>A.</w:t>
            </w:r>
            <w:r w:rsidR="00976B0F" w:rsidRPr="00976B0F">
              <w:rPr>
                <w:rFonts w:asciiTheme="majorHAnsi" w:eastAsiaTheme="minorEastAsia" w:hAnsiTheme="majorHAnsi" w:cstheme="minorBidi"/>
                <w:noProof/>
                <w:sz w:val="20"/>
                <w:szCs w:val="20"/>
                <w:bdr w:val="none" w:sz="0" w:space="0" w:color="auto"/>
              </w:rPr>
              <w:tab/>
            </w:r>
            <w:r w:rsidR="00976B0F" w:rsidRPr="00976B0F">
              <w:rPr>
                <w:rStyle w:val="Hyperlink"/>
                <w:rFonts w:asciiTheme="majorHAnsi" w:hAnsiTheme="majorHAnsi"/>
                <w:noProof/>
                <w:sz w:val="20"/>
                <w:szCs w:val="20"/>
                <w:lang w:val="es-ES_tradnl"/>
              </w:rPr>
              <w:t>Derechos a las garantías judiciales y principio de legalidad</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_Toc521483539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8</w:t>
            </w:r>
            <w:r w:rsidR="00976B0F" w:rsidRPr="00976B0F">
              <w:rPr>
                <w:rFonts w:asciiTheme="majorHAnsi" w:hAnsiTheme="majorHAnsi"/>
                <w:noProof/>
                <w:webHidden/>
                <w:sz w:val="20"/>
                <w:szCs w:val="20"/>
              </w:rPr>
              <w:fldChar w:fldCharType="end"/>
            </w:r>
          </w:hyperlink>
        </w:p>
        <w:p w14:paraId="077EDA6F" w14:textId="276F2BEC" w:rsidR="00976B0F" w:rsidRPr="00976B0F" w:rsidRDefault="00A556F4" w:rsidP="00441034">
          <w:pPr>
            <w:pStyle w:val="TOC2"/>
            <w:tabs>
              <w:tab w:val="right" w:leader="dot" w:pos="8910"/>
            </w:tabs>
            <w:ind w:right="-90"/>
            <w:rPr>
              <w:rFonts w:asciiTheme="majorHAnsi" w:eastAsiaTheme="minorEastAsia" w:hAnsiTheme="majorHAnsi" w:cstheme="minorBidi"/>
              <w:noProof/>
              <w:sz w:val="20"/>
              <w:szCs w:val="20"/>
              <w:bdr w:val="none" w:sz="0" w:space="0" w:color="auto"/>
            </w:rPr>
          </w:pPr>
          <w:hyperlink w:anchor="_Toc521483540" w:history="1">
            <w:r w:rsidR="00976B0F" w:rsidRPr="00976B0F">
              <w:rPr>
                <w:rStyle w:val="Hyperlink"/>
                <w:rFonts w:asciiTheme="majorHAnsi" w:hAnsiTheme="majorHAnsi"/>
                <w:noProof/>
                <w:sz w:val="20"/>
                <w:szCs w:val="20"/>
                <w:lang w:val="es-UY"/>
              </w:rPr>
              <w:t>1.</w:t>
            </w:r>
            <w:r w:rsidR="00976B0F" w:rsidRPr="00976B0F">
              <w:rPr>
                <w:rFonts w:asciiTheme="majorHAnsi" w:eastAsiaTheme="minorEastAsia" w:hAnsiTheme="majorHAnsi" w:cstheme="minorBidi"/>
                <w:noProof/>
                <w:sz w:val="20"/>
                <w:szCs w:val="20"/>
                <w:bdr w:val="none" w:sz="0" w:space="0" w:color="auto"/>
              </w:rPr>
              <w:tab/>
            </w:r>
            <w:r w:rsidR="00976B0F" w:rsidRPr="00976B0F">
              <w:rPr>
                <w:rStyle w:val="Hyperlink"/>
                <w:rFonts w:asciiTheme="majorHAnsi" w:hAnsiTheme="majorHAnsi"/>
                <w:noProof/>
                <w:sz w:val="20"/>
                <w:szCs w:val="20"/>
                <w:lang w:val="es-ES_tradnl"/>
              </w:rPr>
              <w:t>Consideraciones generales sobre las garantías aplicables en procesos sancionatorios y de determinación de derechos</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_Toc521483540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8</w:t>
            </w:r>
            <w:r w:rsidR="00976B0F" w:rsidRPr="00976B0F">
              <w:rPr>
                <w:rFonts w:asciiTheme="majorHAnsi" w:hAnsiTheme="majorHAnsi"/>
                <w:noProof/>
                <w:webHidden/>
                <w:sz w:val="20"/>
                <w:szCs w:val="20"/>
              </w:rPr>
              <w:fldChar w:fldCharType="end"/>
            </w:r>
          </w:hyperlink>
        </w:p>
        <w:p w14:paraId="288E901E" w14:textId="3C49B717" w:rsidR="00976B0F" w:rsidRPr="00976B0F" w:rsidRDefault="00A556F4" w:rsidP="00441034">
          <w:pPr>
            <w:pStyle w:val="TOC2"/>
            <w:tabs>
              <w:tab w:val="right" w:leader="dot" w:pos="8910"/>
            </w:tabs>
            <w:ind w:right="-90"/>
            <w:rPr>
              <w:rFonts w:asciiTheme="majorHAnsi" w:eastAsiaTheme="minorEastAsia" w:hAnsiTheme="majorHAnsi" w:cstheme="minorBidi"/>
              <w:noProof/>
              <w:sz w:val="20"/>
              <w:szCs w:val="20"/>
              <w:bdr w:val="none" w:sz="0" w:space="0" w:color="auto"/>
            </w:rPr>
          </w:pPr>
          <w:hyperlink w:anchor="_Toc521483541" w:history="1">
            <w:r w:rsidR="00976B0F" w:rsidRPr="00976B0F">
              <w:rPr>
                <w:rStyle w:val="Hyperlink"/>
                <w:rFonts w:asciiTheme="majorHAnsi" w:hAnsiTheme="majorHAnsi"/>
                <w:noProof/>
                <w:sz w:val="20"/>
                <w:szCs w:val="20"/>
                <w:lang w:val="es-UY"/>
              </w:rPr>
              <w:t>2.</w:t>
            </w:r>
            <w:r w:rsidR="00976B0F" w:rsidRPr="00976B0F">
              <w:rPr>
                <w:rFonts w:asciiTheme="majorHAnsi" w:eastAsiaTheme="minorEastAsia" w:hAnsiTheme="majorHAnsi" w:cstheme="minorBidi"/>
                <w:noProof/>
                <w:sz w:val="20"/>
                <w:szCs w:val="20"/>
                <w:bdr w:val="none" w:sz="0" w:space="0" w:color="auto"/>
              </w:rPr>
              <w:tab/>
            </w:r>
            <w:r w:rsidR="00976B0F" w:rsidRPr="00976B0F">
              <w:rPr>
                <w:rStyle w:val="Hyperlink"/>
                <w:rFonts w:asciiTheme="majorHAnsi" w:hAnsiTheme="majorHAnsi"/>
                <w:noProof/>
                <w:sz w:val="20"/>
                <w:szCs w:val="20"/>
                <w:lang w:val="es-ES_tradnl"/>
              </w:rPr>
              <w:t>Consideraciones generales sobre las garantías aplicables a operadores y operadoras judiciales incluyendo fiscales</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_Toc521483541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9</w:t>
            </w:r>
            <w:r w:rsidR="00976B0F" w:rsidRPr="00976B0F">
              <w:rPr>
                <w:rFonts w:asciiTheme="majorHAnsi" w:hAnsiTheme="majorHAnsi"/>
                <w:noProof/>
                <w:webHidden/>
                <w:sz w:val="20"/>
                <w:szCs w:val="20"/>
              </w:rPr>
              <w:fldChar w:fldCharType="end"/>
            </w:r>
          </w:hyperlink>
        </w:p>
        <w:p w14:paraId="003BA6CB" w14:textId="27350FF9" w:rsidR="00976B0F" w:rsidRPr="00976B0F" w:rsidRDefault="00A556F4" w:rsidP="00441034">
          <w:pPr>
            <w:pStyle w:val="TOC3"/>
            <w:tabs>
              <w:tab w:val="left" w:pos="2160"/>
              <w:tab w:val="right" w:leader="dot" w:pos="8910"/>
            </w:tabs>
            <w:ind w:right="-90"/>
            <w:rPr>
              <w:rFonts w:asciiTheme="majorHAnsi" w:eastAsiaTheme="minorEastAsia" w:hAnsiTheme="majorHAnsi" w:cstheme="minorBidi"/>
              <w:noProof/>
              <w:sz w:val="20"/>
              <w:szCs w:val="20"/>
              <w:bdr w:val="none" w:sz="0" w:space="0" w:color="auto"/>
            </w:rPr>
          </w:pPr>
          <w:hyperlink w:anchor="_Toc521483542" w:history="1">
            <w:r w:rsidR="00976B0F" w:rsidRPr="00976B0F">
              <w:rPr>
                <w:rStyle w:val="Hyperlink"/>
                <w:rFonts w:asciiTheme="majorHAnsi" w:hAnsiTheme="majorHAnsi"/>
                <w:noProof/>
                <w:sz w:val="20"/>
                <w:szCs w:val="20"/>
                <w:lang w:val="es-ES_tradnl"/>
              </w:rPr>
              <w:t>2.1</w:t>
            </w:r>
            <w:r w:rsidR="00976B0F" w:rsidRPr="00976B0F">
              <w:rPr>
                <w:rFonts w:asciiTheme="majorHAnsi" w:eastAsiaTheme="minorEastAsia" w:hAnsiTheme="majorHAnsi" w:cstheme="minorBidi"/>
                <w:noProof/>
                <w:sz w:val="20"/>
                <w:szCs w:val="20"/>
                <w:bdr w:val="none" w:sz="0" w:space="0" w:color="auto"/>
              </w:rPr>
              <w:tab/>
            </w:r>
            <w:r w:rsidR="00976B0F" w:rsidRPr="00976B0F">
              <w:rPr>
                <w:rStyle w:val="Hyperlink"/>
                <w:rFonts w:asciiTheme="majorHAnsi" w:hAnsiTheme="majorHAnsi"/>
                <w:noProof/>
                <w:sz w:val="20"/>
                <w:szCs w:val="20"/>
                <w:lang w:val="es-ES_tradnl"/>
              </w:rPr>
              <w:t>El principio de independencia judicial y la remoción de operadores y operadoras judiciales</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_Toc521483542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9</w:t>
            </w:r>
            <w:r w:rsidR="00976B0F" w:rsidRPr="00976B0F">
              <w:rPr>
                <w:rFonts w:asciiTheme="majorHAnsi" w:hAnsiTheme="majorHAnsi"/>
                <w:noProof/>
                <w:webHidden/>
                <w:sz w:val="20"/>
                <w:szCs w:val="20"/>
              </w:rPr>
              <w:fldChar w:fldCharType="end"/>
            </w:r>
          </w:hyperlink>
        </w:p>
        <w:p w14:paraId="0B7A6FB3" w14:textId="141B405A" w:rsidR="00976B0F" w:rsidRPr="00976B0F" w:rsidRDefault="00A556F4" w:rsidP="00441034">
          <w:pPr>
            <w:pStyle w:val="TOC3"/>
            <w:tabs>
              <w:tab w:val="left" w:pos="2160"/>
              <w:tab w:val="right" w:leader="dot" w:pos="8910"/>
            </w:tabs>
            <w:ind w:right="-90"/>
            <w:rPr>
              <w:rFonts w:asciiTheme="majorHAnsi" w:eastAsiaTheme="minorEastAsia" w:hAnsiTheme="majorHAnsi" w:cstheme="minorBidi"/>
              <w:noProof/>
              <w:sz w:val="20"/>
              <w:szCs w:val="20"/>
              <w:bdr w:val="none" w:sz="0" w:space="0" w:color="auto"/>
            </w:rPr>
          </w:pPr>
          <w:hyperlink w:anchor="_Toc521483543" w:history="1">
            <w:r w:rsidR="00976B0F" w:rsidRPr="00976B0F">
              <w:rPr>
                <w:rStyle w:val="Hyperlink"/>
                <w:rFonts w:asciiTheme="majorHAnsi" w:hAnsiTheme="majorHAnsi"/>
                <w:noProof/>
                <w:sz w:val="20"/>
                <w:szCs w:val="20"/>
                <w:lang w:val="es-ES_tradnl"/>
              </w:rPr>
              <w:t>2.2</w:t>
            </w:r>
            <w:r w:rsidR="00976B0F" w:rsidRPr="00976B0F">
              <w:rPr>
                <w:rFonts w:asciiTheme="majorHAnsi" w:eastAsiaTheme="minorEastAsia" w:hAnsiTheme="majorHAnsi" w:cstheme="minorBidi"/>
                <w:noProof/>
                <w:sz w:val="20"/>
                <w:szCs w:val="20"/>
                <w:bdr w:val="none" w:sz="0" w:space="0" w:color="auto"/>
              </w:rPr>
              <w:tab/>
            </w:r>
            <w:r w:rsidR="00976B0F" w:rsidRPr="00976B0F">
              <w:rPr>
                <w:rStyle w:val="Hyperlink"/>
                <w:rFonts w:asciiTheme="majorHAnsi" w:hAnsiTheme="majorHAnsi"/>
                <w:noProof/>
                <w:sz w:val="20"/>
                <w:szCs w:val="20"/>
                <w:lang w:val="es-ES_tradnl"/>
              </w:rPr>
              <w:t>Consideraciones generales sobre la estabilidad reforzada de fiscales</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_Toc521483543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10</w:t>
            </w:r>
            <w:r w:rsidR="00976B0F" w:rsidRPr="00976B0F">
              <w:rPr>
                <w:rFonts w:asciiTheme="majorHAnsi" w:hAnsiTheme="majorHAnsi"/>
                <w:noProof/>
                <w:webHidden/>
                <w:sz w:val="20"/>
                <w:szCs w:val="20"/>
              </w:rPr>
              <w:fldChar w:fldCharType="end"/>
            </w:r>
          </w:hyperlink>
        </w:p>
        <w:p w14:paraId="731BD11C" w14:textId="026CAAD8" w:rsidR="00976B0F" w:rsidRPr="00976B0F" w:rsidRDefault="00A556F4" w:rsidP="00441034">
          <w:pPr>
            <w:pStyle w:val="TOC2"/>
            <w:tabs>
              <w:tab w:val="right" w:leader="dot" w:pos="8910"/>
            </w:tabs>
            <w:ind w:right="-90"/>
            <w:rPr>
              <w:rFonts w:asciiTheme="majorHAnsi" w:eastAsiaTheme="minorEastAsia" w:hAnsiTheme="majorHAnsi" w:cstheme="minorBidi"/>
              <w:noProof/>
              <w:sz w:val="20"/>
              <w:szCs w:val="20"/>
              <w:bdr w:val="none" w:sz="0" w:space="0" w:color="auto"/>
            </w:rPr>
          </w:pPr>
          <w:hyperlink w:anchor="_Toc521483544" w:history="1">
            <w:r w:rsidR="00976B0F" w:rsidRPr="00976B0F">
              <w:rPr>
                <w:rStyle w:val="Hyperlink"/>
                <w:rFonts w:asciiTheme="majorHAnsi" w:hAnsiTheme="majorHAnsi"/>
                <w:noProof/>
                <w:sz w:val="20"/>
                <w:szCs w:val="20"/>
                <w:lang w:val="es-UY"/>
              </w:rPr>
              <w:t>3.</w:t>
            </w:r>
            <w:r w:rsidR="00976B0F" w:rsidRPr="00976B0F">
              <w:rPr>
                <w:rFonts w:asciiTheme="majorHAnsi" w:eastAsiaTheme="minorEastAsia" w:hAnsiTheme="majorHAnsi" w:cstheme="minorBidi"/>
                <w:noProof/>
                <w:sz w:val="20"/>
                <w:szCs w:val="20"/>
                <w:bdr w:val="none" w:sz="0" w:space="0" w:color="auto"/>
              </w:rPr>
              <w:tab/>
            </w:r>
            <w:r w:rsidR="00976B0F" w:rsidRPr="00976B0F">
              <w:rPr>
                <w:rStyle w:val="Hyperlink"/>
                <w:rFonts w:asciiTheme="majorHAnsi" w:hAnsiTheme="majorHAnsi"/>
                <w:noProof/>
                <w:sz w:val="20"/>
                <w:szCs w:val="20"/>
                <w:lang w:val="es-ES_tradnl"/>
              </w:rPr>
              <w:t>Análisis del presente caso</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_Toc521483544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11</w:t>
            </w:r>
            <w:r w:rsidR="00976B0F" w:rsidRPr="00976B0F">
              <w:rPr>
                <w:rFonts w:asciiTheme="majorHAnsi" w:hAnsiTheme="majorHAnsi"/>
                <w:noProof/>
                <w:webHidden/>
                <w:sz w:val="20"/>
                <w:szCs w:val="20"/>
              </w:rPr>
              <w:fldChar w:fldCharType="end"/>
            </w:r>
          </w:hyperlink>
        </w:p>
        <w:p w14:paraId="0D321866" w14:textId="227F35DE" w:rsidR="00976B0F" w:rsidRPr="00976B0F" w:rsidRDefault="00A556F4" w:rsidP="00441034">
          <w:pPr>
            <w:pStyle w:val="TOC3"/>
            <w:tabs>
              <w:tab w:val="left" w:pos="2160"/>
              <w:tab w:val="right" w:leader="dot" w:pos="8910"/>
            </w:tabs>
            <w:ind w:right="-90"/>
            <w:rPr>
              <w:rFonts w:asciiTheme="majorHAnsi" w:eastAsiaTheme="minorEastAsia" w:hAnsiTheme="majorHAnsi" w:cstheme="minorBidi"/>
              <w:noProof/>
              <w:sz w:val="20"/>
              <w:szCs w:val="20"/>
              <w:bdr w:val="none" w:sz="0" w:space="0" w:color="auto"/>
            </w:rPr>
          </w:pPr>
          <w:hyperlink w:anchor="_Toc521483545" w:history="1">
            <w:r w:rsidR="00976B0F" w:rsidRPr="00976B0F">
              <w:rPr>
                <w:rStyle w:val="Hyperlink"/>
                <w:rFonts w:asciiTheme="majorHAnsi" w:hAnsiTheme="majorHAnsi"/>
                <w:noProof/>
                <w:sz w:val="20"/>
                <w:szCs w:val="20"/>
                <w:lang w:val="es-ES_tradnl"/>
              </w:rPr>
              <w:t>3.1</w:t>
            </w:r>
            <w:r w:rsidR="00976B0F" w:rsidRPr="00976B0F">
              <w:rPr>
                <w:rFonts w:asciiTheme="majorHAnsi" w:eastAsiaTheme="minorEastAsia" w:hAnsiTheme="majorHAnsi" w:cstheme="minorBidi"/>
                <w:noProof/>
                <w:sz w:val="20"/>
                <w:szCs w:val="20"/>
                <w:bdr w:val="none" w:sz="0" w:space="0" w:color="auto"/>
              </w:rPr>
              <w:tab/>
            </w:r>
            <w:r w:rsidR="00976B0F" w:rsidRPr="00976B0F">
              <w:rPr>
                <w:rStyle w:val="Hyperlink"/>
                <w:rFonts w:asciiTheme="majorHAnsi" w:hAnsiTheme="majorHAnsi"/>
                <w:noProof/>
                <w:sz w:val="20"/>
                <w:szCs w:val="20"/>
                <w:lang w:val="es-ES_tradnl"/>
              </w:rPr>
              <w:t>En cuanto al derecho a ser oído, el derecho de defensa y el principio de legalidad</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_Toc521483545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11</w:t>
            </w:r>
            <w:r w:rsidR="00976B0F" w:rsidRPr="00976B0F">
              <w:rPr>
                <w:rFonts w:asciiTheme="majorHAnsi" w:hAnsiTheme="majorHAnsi"/>
                <w:noProof/>
                <w:webHidden/>
                <w:sz w:val="20"/>
                <w:szCs w:val="20"/>
              </w:rPr>
              <w:fldChar w:fldCharType="end"/>
            </w:r>
          </w:hyperlink>
        </w:p>
        <w:p w14:paraId="55DEC790" w14:textId="5899322B" w:rsidR="00976B0F" w:rsidRPr="00976B0F" w:rsidRDefault="00A556F4" w:rsidP="00441034">
          <w:pPr>
            <w:pStyle w:val="TOC3"/>
            <w:tabs>
              <w:tab w:val="left" w:pos="2160"/>
              <w:tab w:val="right" w:leader="dot" w:pos="8910"/>
            </w:tabs>
            <w:ind w:right="-90"/>
            <w:rPr>
              <w:rFonts w:asciiTheme="majorHAnsi" w:eastAsiaTheme="minorEastAsia" w:hAnsiTheme="majorHAnsi" w:cstheme="minorBidi"/>
              <w:noProof/>
              <w:sz w:val="20"/>
              <w:szCs w:val="20"/>
              <w:bdr w:val="none" w:sz="0" w:space="0" w:color="auto"/>
            </w:rPr>
          </w:pPr>
          <w:hyperlink w:anchor="_Toc521483546" w:history="1">
            <w:r w:rsidR="00976B0F" w:rsidRPr="00976B0F">
              <w:rPr>
                <w:rStyle w:val="Hyperlink"/>
                <w:rFonts w:asciiTheme="majorHAnsi" w:hAnsiTheme="majorHAnsi"/>
                <w:noProof/>
                <w:sz w:val="20"/>
                <w:szCs w:val="20"/>
                <w:lang w:val="es-ES_tradnl"/>
              </w:rPr>
              <w:t>3.2</w:t>
            </w:r>
            <w:r w:rsidR="00976B0F" w:rsidRPr="00976B0F">
              <w:rPr>
                <w:rFonts w:asciiTheme="majorHAnsi" w:eastAsiaTheme="minorEastAsia" w:hAnsiTheme="majorHAnsi" w:cstheme="minorBidi"/>
                <w:noProof/>
                <w:sz w:val="20"/>
                <w:szCs w:val="20"/>
                <w:bdr w:val="none" w:sz="0" w:space="0" w:color="auto"/>
              </w:rPr>
              <w:tab/>
            </w:r>
            <w:r w:rsidR="00976B0F" w:rsidRPr="00976B0F">
              <w:rPr>
                <w:rStyle w:val="Hyperlink"/>
                <w:rFonts w:asciiTheme="majorHAnsi" w:hAnsiTheme="majorHAnsi"/>
                <w:noProof/>
                <w:sz w:val="20"/>
                <w:szCs w:val="20"/>
                <w:lang w:val="es-ES_tradnl"/>
              </w:rPr>
              <w:t>El derecho a contar con decisiones debidamente motivadas y el principio de presunción de inocencia</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_Toc521483546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12</w:t>
            </w:r>
            <w:r w:rsidR="00976B0F" w:rsidRPr="00976B0F">
              <w:rPr>
                <w:rFonts w:asciiTheme="majorHAnsi" w:hAnsiTheme="majorHAnsi"/>
                <w:noProof/>
                <w:webHidden/>
                <w:sz w:val="20"/>
                <w:szCs w:val="20"/>
              </w:rPr>
              <w:fldChar w:fldCharType="end"/>
            </w:r>
          </w:hyperlink>
        </w:p>
        <w:p w14:paraId="5E9AB63A" w14:textId="45C5A96E" w:rsidR="00976B0F" w:rsidRPr="00976B0F" w:rsidRDefault="00A556F4" w:rsidP="00441034">
          <w:pPr>
            <w:pStyle w:val="TOC2"/>
            <w:tabs>
              <w:tab w:val="right" w:leader="dot" w:pos="8910"/>
            </w:tabs>
            <w:ind w:right="-90"/>
            <w:rPr>
              <w:rFonts w:asciiTheme="majorHAnsi" w:eastAsiaTheme="minorEastAsia" w:hAnsiTheme="majorHAnsi" w:cstheme="minorBidi"/>
              <w:noProof/>
              <w:sz w:val="20"/>
              <w:szCs w:val="20"/>
              <w:bdr w:val="none" w:sz="0" w:space="0" w:color="auto"/>
            </w:rPr>
          </w:pPr>
          <w:hyperlink w:anchor="_Toc521483547" w:history="1">
            <w:r w:rsidR="00976B0F" w:rsidRPr="00976B0F">
              <w:rPr>
                <w:rStyle w:val="Hyperlink"/>
                <w:rFonts w:asciiTheme="majorHAnsi" w:hAnsiTheme="majorHAnsi"/>
                <w:noProof/>
                <w:sz w:val="20"/>
                <w:szCs w:val="20"/>
                <w:lang w:val="es-ES_tradnl"/>
              </w:rPr>
              <w:t>B.</w:t>
            </w:r>
            <w:r w:rsidR="00976B0F" w:rsidRPr="00976B0F">
              <w:rPr>
                <w:rFonts w:asciiTheme="majorHAnsi" w:eastAsiaTheme="minorEastAsia" w:hAnsiTheme="majorHAnsi" w:cstheme="minorBidi"/>
                <w:noProof/>
                <w:sz w:val="20"/>
                <w:szCs w:val="20"/>
                <w:bdr w:val="none" w:sz="0" w:space="0" w:color="auto"/>
              </w:rPr>
              <w:tab/>
            </w:r>
            <w:r w:rsidR="00976B0F" w:rsidRPr="00976B0F">
              <w:rPr>
                <w:rStyle w:val="Hyperlink"/>
                <w:rFonts w:asciiTheme="majorHAnsi" w:hAnsiTheme="majorHAnsi"/>
                <w:noProof/>
                <w:sz w:val="20"/>
                <w:szCs w:val="20"/>
                <w:lang w:val="es-ES_tradnl"/>
              </w:rPr>
              <w:t>El derecho a la protección judicial</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_Toc521483547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14</w:t>
            </w:r>
            <w:r w:rsidR="00976B0F" w:rsidRPr="00976B0F">
              <w:rPr>
                <w:rFonts w:asciiTheme="majorHAnsi" w:hAnsiTheme="majorHAnsi"/>
                <w:noProof/>
                <w:webHidden/>
                <w:sz w:val="20"/>
                <w:szCs w:val="20"/>
              </w:rPr>
              <w:fldChar w:fldCharType="end"/>
            </w:r>
          </w:hyperlink>
        </w:p>
        <w:p w14:paraId="704DC3E2" w14:textId="19C49A8A" w:rsidR="00976B0F" w:rsidRPr="00976B0F" w:rsidRDefault="00A556F4" w:rsidP="00441034">
          <w:pPr>
            <w:pStyle w:val="TOC2"/>
            <w:tabs>
              <w:tab w:val="right" w:leader="dot" w:pos="8910"/>
            </w:tabs>
            <w:ind w:right="-90"/>
            <w:rPr>
              <w:rFonts w:asciiTheme="majorHAnsi" w:eastAsiaTheme="minorEastAsia" w:hAnsiTheme="majorHAnsi" w:cstheme="minorBidi"/>
              <w:noProof/>
              <w:sz w:val="20"/>
              <w:szCs w:val="20"/>
              <w:bdr w:val="none" w:sz="0" w:space="0" w:color="auto"/>
            </w:rPr>
          </w:pPr>
          <w:hyperlink w:anchor="_Toc521483548" w:history="1">
            <w:r w:rsidR="00976B0F" w:rsidRPr="00976B0F">
              <w:rPr>
                <w:rStyle w:val="Hyperlink"/>
                <w:rFonts w:asciiTheme="majorHAnsi" w:hAnsiTheme="majorHAnsi"/>
                <w:noProof/>
                <w:sz w:val="20"/>
                <w:szCs w:val="20"/>
                <w:lang w:val="es-ES"/>
              </w:rPr>
              <w:t>C.</w:t>
            </w:r>
            <w:r w:rsidR="00976B0F" w:rsidRPr="00976B0F">
              <w:rPr>
                <w:rFonts w:asciiTheme="majorHAnsi" w:eastAsiaTheme="minorEastAsia" w:hAnsiTheme="majorHAnsi" w:cstheme="minorBidi"/>
                <w:noProof/>
                <w:sz w:val="20"/>
                <w:szCs w:val="20"/>
                <w:bdr w:val="none" w:sz="0" w:space="0" w:color="auto"/>
              </w:rPr>
              <w:tab/>
            </w:r>
            <w:r w:rsidR="00976B0F" w:rsidRPr="00976B0F">
              <w:rPr>
                <w:rStyle w:val="Hyperlink"/>
                <w:rFonts w:asciiTheme="majorHAnsi" w:hAnsiTheme="majorHAnsi"/>
                <w:noProof/>
                <w:sz w:val="20"/>
                <w:szCs w:val="20"/>
                <w:lang w:val="es-ES_tradnl"/>
              </w:rPr>
              <w:t>Los</w:t>
            </w:r>
            <w:r w:rsidR="00976B0F" w:rsidRPr="00976B0F">
              <w:rPr>
                <w:rStyle w:val="Hyperlink"/>
                <w:rFonts w:asciiTheme="majorHAnsi" w:hAnsiTheme="majorHAnsi"/>
                <w:noProof/>
                <w:sz w:val="20"/>
                <w:szCs w:val="20"/>
                <w:lang w:val="es-ES"/>
              </w:rPr>
              <w:t xml:space="preserve"> derechos políticos</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_Toc521483548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15</w:t>
            </w:r>
            <w:r w:rsidR="00976B0F" w:rsidRPr="00976B0F">
              <w:rPr>
                <w:rFonts w:asciiTheme="majorHAnsi" w:hAnsiTheme="majorHAnsi"/>
                <w:noProof/>
                <w:webHidden/>
                <w:sz w:val="20"/>
                <w:szCs w:val="20"/>
              </w:rPr>
              <w:fldChar w:fldCharType="end"/>
            </w:r>
          </w:hyperlink>
        </w:p>
        <w:p w14:paraId="726095C2" w14:textId="330F69F4" w:rsidR="00976B0F" w:rsidRPr="00976B0F" w:rsidRDefault="00A556F4" w:rsidP="00441034">
          <w:pPr>
            <w:pStyle w:val="TOC1"/>
            <w:tabs>
              <w:tab w:val="clear" w:pos="8820"/>
              <w:tab w:val="right" w:leader="dot" w:pos="8910"/>
            </w:tabs>
            <w:rPr>
              <w:rFonts w:asciiTheme="majorHAnsi" w:eastAsiaTheme="minorEastAsia" w:hAnsiTheme="majorHAnsi" w:cstheme="minorBidi"/>
              <w:noProof/>
              <w:sz w:val="20"/>
              <w:szCs w:val="20"/>
              <w:bdr w:val="none" w:sz="0" w:space="0" w:color="auto"/>
            </w:rPr>
          </w:pPr>
          <w:hyperlink w:anchor="_Toc521483549" w:history="1">
            <w:r w:rsidR="00976B0F" w:rsidRPr="00441034">
              <w:rPr>
                <w:rStyle w:val="Hyperlink"/>
                <w:rFonts w:asciiTheme="majorHAnsi" w:hAnsiTheme="majorHAnsi"/>
                <w:b/>
                <w:noProof/>
                <w:sz w:val="20"/>
                <w:szCs w:val="20"/>
                <w:lang w:val="es-ES_tradnl"/>
              </w:rPr>
              <w:t>V.</w:t>
            </w:r>
            <w:r w:rsidR="00976B0F" w:rsidRPr="00441034">
              <w:rPr>
                <w:rFonts w:asciiTheme="majorHAnsi" w:eastAsiaTheme="minorEastAsia" w:hAnsiTheme="majorHAnsi" w:cstheme="minorBidi"/>
                <w:b/>
                <w:noProof/>
                <w:sz w:val="20"/>
                <w:szCs w:val="20"/>
                <w:bdr w:val="none" w:sz="0" w:space="0" w:color="auto"/>
              </w:rPr>
              <w:tab/>
            </w:r>
            <w:r w:rsidR="00976B0F" w:rsidRPr="00441034">
              <w:rPr>
                <w:rStyle w:val="Hyperlink"/>
                <w:rFonts w:asciiTheme="majorHAnsi" w:hAnsiTheme="majorHAnsi"/>
                <w:b/>
                <w:noProof/>
                <w:sz w:val="20"/>
                <w:szCs w:val="20"/>
                <w:lang w:val="es-ES_tradnl"/>
              </w:rPr>
              <w:t>CONCLUSIONES Y RECOMENDACIONES</w:t>
            </w:r>
            <w:r w:rsidR="00976B0F" w:rsidRPr="00976B0F">
              <w:rPr>
                <w:rFonts w:asciiTheme="majorHAnsi" w:hAnsiTheme="majorHAnsi"/>
                <w:noProof/>
                <w:webHidden/>
                <w:sz w:val="20"/>
                <w:szCs w:val="20"/>
              </w:rPr>
              <w:tab/>
            </w:r>
            <w:r w:rsidR="00976B0F" w:rsidRPr="00976B0F">
              <w:rPr>
                <w:rFonts w:asciiTheme="majorHAnsi" w:hAnsiTheme="majorHAnsi"/>
                <w:noProof/>
                <w:webHidden/>
                <w:sz w:val="20"/>
                <w:szCs w:val="20"/>
              </w:rPr>
              <w:fldChar w:fldCharType="begin"/>
            </w:r>
            <w:r w:rsidR="00976B0F" w:rsidRPr="00976B0F">
              <w:rPr>
                <w:rFonts w:asciiTheme="majorHAnsi" w:hAnsiTheme="majorHAnsi"/>
                <w:noProof/>
                <w:webHidden/>
                <w:sz w:val="20"/>
                <w:szCs w:val="20"/>
              </w:rPr>
              <w:instrText xml:space="preserve"> PAGEREF _Toc521483549 \h </w:instrText>
            </w:r>
            <w:r w:rsidR="00976B0F" w:rsidRPr="00976B0F">
              <w:rPr>
                <w:rFonts w:asciiTheme="majorHAnsi" w:hAnsiTheme="majorHAnsi"/>
                <w:noProof/>
                <w:webHidden/>
                <w:sz w:val="20"/>
                <w:szCs w:val="20"/>
              </w:rPr>
            </w:r>
            <w:r w:rsidR="00976B0F" w:rsidRPr="00976B0F">
              <w:rPr>
                <w:rFonts w:asciiTheme="majorHAnsi" w:hAnsiTheme="majorHAnsi"/>
                <w:noProof/>
                <w:webHidden/>
                <w:sz w:val="20"/>
                <w:szCs w:val="20"/>
              </w:rPr>
              <w:fldChar w:fldCharType="separate"/>
            </w:r>
            <w:r w:rsidR="00090B46">
              <w:rPr>
                <w:rFonts w:asciiTheme="majorHAnsi" w:hAnsiTheme="majorHAnsi"/>
                <w:noProof/>
                <w:webHidden/>
                <w:sz w:val="20"/>
                <w:szCs w:val="20"/>
              </w:rPr>
              <w:t>15</w:t>
            </w:r>
            <w:r w:rsidR="00976B0F" w:rsidRPr="00976B0F">
              <w:rPr>
                <w:rFonts w:asciiTheme="majorHAnsi" w:hAnsiTheme="majorHAnsi"/>
                <w:noProof/>
                <w:webHidden/>
                <w:sz w:val="20"/>
                <w:szCs w:val="20"/>
              </w:rPr>
              <w:fldChar w:fldCharType="end"/>
            </w:r>
          </w:hyperlink>
        </w:p>
        <w:p w14:paraId="5F9DDCF9" w14:textId="77777777" w:rsidR="00FC7848" w:rsidRDefault="00FC7848" w:rsidP="00DF7233">
          <w:pPr>
            <w:tabs>
              <w:tab w:val="right" w:leader="dot" w:pos="8820"/>
            </w:tabs>
          </w:pPr>
          <w:r w:rsidRPr="00DF7233">
            <w:rPr>
              <w:rFonts w:asciiTheme="majorHAnsi" w:hAnsiTheme="majorHAnsi"/>
              <w:b/>
              <w:bCs/>
              <w:noProof/>
              <w:sz w:val="20"/>
              <w:szCs w:val="20"/>
            </w:rPr>
            <w:fldChar w:fldCharType="end"/>
          </w:r>
        </w:p>
      </w:sdtContent>
    </w:sdt>
    <w:p w14:paraId="463333F8" w14:textId="77777777" w:rsidR="00A43858" w:rsidRPr="00A43858" w:rsidRDefault="00A43858" w:rsidP="00FE05A0">
      <w:pPr>
        <w:suppressAutoHyphens/>
        <w:rPr>
          <w:rFonts w:asciiTheme="majorHAnsi" w:hAnsiTheme="majorHAnsi"/>
          <w:b/>
          <w:sz w:val="20"/>
          <w:szCs w:val="20"/>
          <w:lang w:val="es-ES_tradnl"/>
        </w:rPr>
      </w:pPr>
    </w:p>
    <w:p w14:paraId="355D8012" w14:textId="77777777" w:rsidR="00A43858" w:rsidRPr="00A43858" w:rsidRDefault="00A43858" w:rsidP="00FE05A0">
      <w:pPr>
        <w:tabs>
          <w:tab w:val="center" w:pos="5400"/>
        </w:tabs>
        <w:suppressAutoHyphens/>
        <w:spacing w:line="276" w:lineRule="auto"/>
        <w:rPr>
          <w:rFonts w:asciiTheme="majorHAnsi" w:hAnsiTheme="majorHAnsi"/>
          <w:sz w:val="20"/>
          <w:szCs w:val="20"/>
          <w:lang w:val="es-CL"/>
        </w:rPr>
      </w:pPr>
      <w:r w:rsidRPr="00A43858">
        <w:rPr>
          <w:rFonts w:asciiTheme="majorHAnsi" w:hAnsiTheme="majorHAnsi"/>
          <w:b/>
          <w:sz w:val="20"/>
          <w:szCs w:val="20"/>
          <w:lang w:val="es-ES_tradnl"/>
        </w:rPr>
        <w:fldChar w:fldCharType="begin"/>
      </w:r>
      <w:r w:rsidRPr="00A43858">
        <w:rPr>
          <w:rFonts w:asciiTheme="majorHAnsi" w:hAnsiTheme="majorHAnsi"/>
          <w:b/>
          <w:sz w:val="20"/>
          <w:szCs w:val="20"/>
          <w:lang w:val="es-CL"/>
        </w:rPr>
        <w:instrText xml:space="preserve"> TOC \o "1-3" \h \z \u </w:instrText>
      </w:r>
      <w:r w:rsidRPr="00A43858">
        <w:rPr>
          <w:rFonts w:asciiTheme="majorHAnsi" w:hAnsiTheme="majorHAnsi"/>
          <w:b/>
          <w:sz w:val="20"/>
          <w:szCs w:val="20"/>
          <w:lang w:val="es-ES_tradnl"/>
        </w:rPr>
        <w:fldChar w:fldCharType="end"/>
      </w:r>
    </w:p>
    <w:p w14:paraId="5F06F73F" w14:textId="77777777" w:rsidR="00A43858" w:rsidRPr="00A43858" w:rsidRDefault="00A43858" w:rsidP="00FE05A0">
      <w:pPr>
        <w:rPr>
          <w:rFonts w:ascii="Cambria" w:hAnsi="Cambria" w:cs="Calibri"/>
          <w:sz w:val="20"/>
          <w:szCs w:val="20"/>
          <w:lang w:val="es-CL"/>
        </w:rPr>
      </w:pPr>
      <w:r w:rsidRPr="00A43858">
        <w:rPr>
          <w:rFonts w:ascii="Cambria" w:hAnsi="Cambria" w:cs="Calibri"/>
          <w:sz w:val="20"/>
          <w:szCs w:val="20"/>
          <w:lang w:val="es-CL"/>
        </w:rPr>
        <w:br w:type="page"/>
      </w:r>
    </w:p>
    <w:p w14:paraId="29481B62" w14:textId="1CCDCC6E" w:rsidR="00A43858" w:rsidRPr="00A43858" w:rsidRDefault="00040359" w:rsidP="00FE05A0">
      <w:pPr>
        <w:tabs>
          <w:tab w:val="center" w:pos="5400"/>
        </w:tabs>
        <w:suppressAutoHyphens/>
        <w:spacing w:line="276" w:lineRule="auto"/>
        <w:jc w:val="center"/>
        <w:rPr>
          <w:rFonts w:asciiTheme="majorHAnsi" w:hAnsiTheme="majorHAnsi"/>
          <w:b/>
          <w:sz w:val="18"/>
          <w:szCs w:val="20"/>
          <w:lang w:val="es-ES"/>
        </w:rPr>
      </w:pPr>
      <w:r>
        <w:rPr>
          <w:rFonts w:asciiTheme="majorHAnsi" w:hAnsiTheme="majorHAnsi"/>
          <w:b/>
          <w:sz w:val="18"/>
          <w:szCs w:val="20"/>
          <w:lang w:val="es-ES"/>
        </w:rPr>
        <w:t>INFORME No. 116</w:t>
      </w:r>
      <w:r w:rsidR="00A43858" w:rsidRPr="00A43858">
        <w:rPr>
          <w:rFonts w:asciiTheme="majorHAnsi" w:hAnsiTheme="majorHAnsi"/>
          <w:b/>
          <w:sz w:val="18"/>
          <w:szCs w:val="20"/>
          <w:lang w:val="es-ES"/>
        </w:rPr>
        <w:t>/</w:t>
      </w:r>
      <w:r w:rsidR="00CB5CD7">
        <w:rPr>
          <w:rFonts w:asciiTheme="majorHAnsi" w:hAnsiTheme="majorHAnsi"/>
          <w:b/>
          <w:sz w:val="18"/>
          <w:szCs w:val="20"/>
          <w:lang w:val="es-ES"/>
        </w:rPr>
        <w:t>18</w:t>
      </w:r>
    </w:p>
    <w:p w14:paraId="4E4F3CDE" w14:textId="77777777" w:rsidR="00A43858" w:rsidRPr="00A43858" w:rsidRDefault="00A43858" w:rsidP="00FE05A0">
      <w:pPr>
        <w:tabs>
          <w:tab w:val="center" w:pos="5400"/>
        </w:tabs>
        <w:suppressAutoHyphens/>
        <w:spacing w:line="276" w:lineRule="auto"/>
        <w:jc w:val="center"/>
        <w:rPr>
          <w:rFonts w:asciiTheme="majorHAnsi" w:hAnsiTheme="majorHAnsi"/>
          <w:b/>
          <w:sz w:val="18"/>
          <w:szCs w:val="20"/>
          <w:lang w:val="es-ES"/>
        </w:rPr>
      </w:pPr>
      <w:r w:rsidRPr="00A43858">
        <w:rPr>
          <w:rFonts w:asciiTheme="majorHAnsi" w:hAnsiTheme="majorHAnsi"/>
          <w:b/>
          <w:sz w:val="18"/>
          <w:szCs w:val="20"/>
          <w:lang w:val="es-ES"/>
        </w:rPr>
        <w:t xml:space="preserve"> CASO 12.975</w:t>
      </w:r>
    </w:p>
    <w:p w14:paraId="50DEE850" w14:textId="77777777" w:rsidR="00A43858" w:rsidRPr="00A43858" w:rsidRDefault="00A43858" w:rsidP="00FE05A0">
      <w:pPr>
        <w:tabs>
          <w:tab w:val="center" w:pos="5400"/>
        </w:tabs>
        <w:suppressAutoHyphens/>
        <w:spacing w:line="276" w:lineRule="auto"/>
        <w:jc w:val="center"/>
        <w:rPr>
          <w:rFonts w:asciiTheme="majorHAnsi" w:hAnsiTheme="majorHAnsi"/>
          <w:sz w:val="18"/>
          <w:szCs w:val="20"/>
          <w:lang w:val="es-ES_tradnl"/>
        </w:rPr>
      </w:pPr>
      <w:r w:rsidRPr="00A43858">
        <w:rPr>
          <w:rFonts w:asciiTheme="majorHAnsi" w:hAnsiTheme="majorHAnsi"/>
          <w:sz w:val="18"/>
          <w:szCs w:val="20"/>
          <w:lang w:val="es-ES_tradnl"/>
        </w:rPr>
        <w:t>FONDO</w:t>
      </w:r>
    </w:p>
    <w:p w14:paraId="128332D6" w14:textId="77777777" w:rsidR="00A43858" w:rsidRPr="00A43858" w:rsidRDefault="00A43858" w:rsidP="00FE05A0">
      <w:pPr>
        <w:tabs>
          <w:tab w:val="center" w:pos="5400"/>
        </w:tabs>
        <w:suppressAutoHyphens/>
        <w:spacing w:line="276" w:lineRule="auto"/>
        <w:jc w:val="center"/>
        <w:rPr>
          <w:rFonts w:asciiTheme="majorHAnsi" w:hAnsiTheme="majorHAnsi"/>
          <w:sz w:val="18"/>
          <w:szCs w:val="20"/>
          <w:lang w:val="es-ES_tradnl"/>
        </w:rPr>
      </w:pPr>
      <w:r w:rsidRPr="00A43858">
        <w:rPr>
          <w:rFonts w:asciiTheme="majorHAnsi" w:hAnsiTheme="majorHAnsi"/>
          <w:sz w:val="18"/>
          <w:szCs w:val="20"/>
          <w:lang w:val="es-ES_tradnl"/>
        </w:rPr>
        <w:t>JULIO CASA NINA</w:t>
      </w:r>
    </w:p>
    <w:p w14:paraId="4E41F330" w14:textId="77777777" w:rsidR="00A43858" w:rsidRPr="00A43858" w:rsidRDefault="00A43858" w:rsidP="00FE05A0">
      <w:pPr>
        <w:tabs>
          <w:tab w:val="center" w:pos="5400"/>
        </w:tabs>
        <w:suppressAutoHyphens/>
        <w:spacing w:line="276" w:lineRule="auto"/>
        <w:jc w:val="center"/>
        <w:rPr>
          <w:rFonts w:asciiTheme="majorHAnsi" w:hAnsiTheme="majorHAnsi"/>
          <w:sz w:val="18"/>
          <w:szCs w:val="20"/>
          <w:lang w:val="es-ES_tradnl"/>
        </w:rPr>
      </w:pPr>
      <w:r w:rsidRPr="00A43858">
        <w:rPr>
          <w:rFonts w:asciiTheme="majorHAnsi" w:hAnsiTheme="majorHAnsi"/>
          <w:sz w:val="18"/>
          <w:szCs w:val="20"/>
          <w:lang w:val="es-ES_tradnl"/>
        </w:rPr>
        <w:t>PERÚ</w:t>
      </w:r>
      <w:r w:rsidRPr="00A43858">
        <w:rPr>
          <w:rFonts w:asciiTheme="majorHAnsi" w:hAnsiTheme="majorHAnsi"/>
          <w:sz w:val="18"/>
          <w:szCs w:val="20"/>
          <w:vertAlign w:val="superscript"/>
          <w:lang w:val="es-ES_tradnl"/>
        </w:rPr>
        <w:footnoteReference w:id="2"/>
      </w:r>
    </w:p>
    <w:p w14:paraId="531B6229" w14:textId="79DB1545" w:rsidR="00A43858" w:rsidRPr="00140721" w:rsidRDefault="00040359" w:rsidP="00FE05A0">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5 DE OCTUBRE DE 2018</w:t>
      </w:r>
    </w:p>
    <w:p w14:paraId="5C91A40C" w14:textId="77777777" w:rsidR="00476437" w:rsidRPr="00140721" w:rsidRDefault="00476437" w:rsidP="00FE05A0">
      <w:pPr>
        <w:pStyle w:val="Heading1"/>
        <w:spacing w:before="0"/>
        <w:ind w:hanging="90"/>
        <w:rPr>
          <w:color w:val="auto"/>
          <w:sz w:val="20"/>
          <w:szCs w:val="20"/>
          <w:lang w:val="es-ES_tradnl"/>
        </w:rPr>
      </w:pPr>
      <w:bookmarkStart w:id="1" w:name="_Toc521483527"/>
      <w:r w:rsidRPr="00140721">
        <w:rPr>
          <w:color w:val="auto"/>
          <w:sz w:val="20"/>
          <w:szCs w:val="20"/>
          <w:lang w:val="es-ES_tradnl"/>
        </w:rPr>
        <w:t>RESUMEN</w:t>
      </w:r>
      <w:bookmarkEnd w:id="1"/>
    </w:p>
    <w:p w14:paraId="5A4F4270" w14:textId="77777777" w:rsidR="00476437" w:rsidRPr="00476437" w:rsidRDefault="00476437" w:rsidP="00FE05A0">
      <w:pPr>
        <w:suppressAutoHyphens/>
        <w:ind w:left="360"/>
        <w:rPr>
          <w:rFonts w:asciiTheme="majorHAnsi" w:hAnsiTheme="majorHAnsi"/>
          <w:b/>
          <w:sz w:val="20"/>
          <w:szCs w:val="20"/>
          <w:lang w:val="es-ES_tradnl"/>
        </w:rPr>
      </w:pPr>
    </w:p>
    <w:p w14:paraId="2DB4B9FA"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 xml:space="preserve">El 6 de febrero de 2007 la Comisión Interamericana de Derechos Humanos (en adelante “la Comisión Interamericana”, “la Comisión” o “la CIDH”) recibió una petición presentada por Julio Casa Nina (en adelante “la parte peticionaria”) en la cual se alega la responsabilidad internacional de la República del Perú (en adelante “el Estado peruano”, “el Estado” o “Perú”) en perjuicio de Julio Casa Nina. </w:t>
      </w:r>
    </w:p>
    <w:p w14:paraId="094F65E5"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4604ACE7"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L</w:t>
      </w:r>
      <w:r w:rsidRPr="00476437">
        <w:rPr>
          <w:rFonts w:ascii="Cambria" w:hAnsi="Cambria"/>
          <w:sz w:val="20"/>
          <w:szCs w:val="20"/>
          <w:lang w:val="es-ES_tradnl"/>
        </w:rPr>
        <w:t>a Comisión aprobó el informe de admisibilidad No</w:t>
      </w:r>
      <w:r w:rsidRPr="00476437">
        <w:rPr>
          <w:rFonts w:ascii="Cambria" w:hAnsi="Cambria"/>
          <w:color w:val="000000" w:themeColor="text1"/>
          <w:sz w:val="20"/>
          <w:szCs w:val="20"/>
          <w:lang w:val="es-ES_tradnl"/>
        </w:rPr>
        <w:t>. 79/14 el 15 de agosto de 2014</w:t>
      </w:r>
      <w:r w:rsidRPr="00476437">
        <w:rPr>
          <w:rFonts w:ascii="Cambria" w:hAnsi="Cambria"/>
          <w:sz w:val="20"/>
          <w:szCs w:val="20"/>
          <w:vertAlign w:val="superscript"/>
          <w:lang w:val="es-ES_tradnl"/>
        </w:rPr>
        <w:footnoteReference w:id="3"/>
      </w:r>
      <w:r w:rsidRPr="00476437">
        <w:rPr>
          <w:rFonts w:ascii="Cambria" w:hAnsi="Cambria"/>
          <w:sz w:val="20"/>
          <w:szCs w:val="20"/>
          <w:lang w:val="es-ES_tradnl"/>
        </w:rPr>
        <w:t>.</w:t>
      </w:r>
      <w:r w:rsidRPr="00476437">
        <w:rPr>
          <w:rFonts w:ascii="Cambria" w:hAnsi="Cambria"/>
          <w:color w:val="000000" w:themeColor="text1"/>
          <w:sz w:val="20"/>
          <w:szCs w:val="20"/>
          <w:lang w:val="es-ES_tradnl"/>
        </w:rPr>
        <w:t xml:space="preserve"> El 8 de octubre de 2014 la </w:t>
      </w:r>
      <w:r w:rsidRPr="00476437">
        <w:rPr>
          <w:rFonts w:ascii="Cambria" w:hAnsi="Cambria"/>
          <w:sz w:val="20"/>
          <w:szCs w:val="20"/>
          <w:lang w:val="es-ES_tradnl"/>
        </w:rPr>
        <w:t>Comisión notificó dicho informe a las partes y se puso a su disposición a fin de llegar a una solución amistosa</w:t>
      </w:r>
      <w:r w:rsidR="000B10E1">
        <w:rPr>
          <w:rFonts w:ascii="Cambria" w:hAnsi="Cambria"/>
          <w:sz w:val="20"/>
          <w:szCs w:val="20"/>
          <w:lang w:val="es-ES_tradnl"/>
        </w:rPr>
        <w:t>, sin que se dieran las condiciones para iniciar dicho procedimiento</w:t>
      </w:r>
      <w:r w:rsidR="003B3186">
        <w:rPr>
          <w:rFonts w:ascii="Cambria" w:hAnsi="Cambria"/>
          <w:sz w:val="20"/>
          <w:szCs w:val="20"/>
          <w:lang w:val="es-ES_tradnl"/>
        </w:rPr>
        <w:t>.</w:t>
      </w:r>
      <w:r w:rsidRPr="00476437">
        <w:rPr>
          <w:rFonts w:ascii="Cambria" w:hAnsi="Cambria"/>
          <w:sz w:val="20"/>
          <w:szCs w:val="20"/>
          <w:lang w:val="es-ES_tradnl"/>
        </w:rPr>
        <w:t xml:space="preserve"> Las partes contaron con los plazos reglamentarios para presentar sus observaciones adicionales sobre el fondo. Toda la información recibida fue debidamente trasladada entre las partes. </w:t>
      </w:r>
    </w:p>
    <w:p w14:paraId="3C69E1ED"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VE"/>
        </w:rPr>
      </w:pPr>
    </w:p>
    <w:p w14:paraId="450D09EE"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La parte peticionaria alegó que fue nombrado como Fiscal Adjunto Provisional en 1998, periodo en el que la provisionalidad de los fiscales tenía un predominio absoluto en el Perú</w:t>
      </w:r>
      <w:r w:rsidR="002711BA">
        <w:rPr>
          <w:rFonts w:ascii="Cambria" w:hAnsi="Cambria"/>
          <w:color w:val="000000" w:themeColor="text1"/>
          <w:sz w:val="20"/>
          <w:szCs w:val="20"/>
          <w:lang w:val="es-VE"/>
        </w:rPr>
        <w:t>. Señaló que desempeñó este</w:t>
      </w:r>
      <w:r w:rsidRPr="00476437">
        <w:rPr>
          <w:rFonts w:ascii="Cambria" w:hAnsi="Cambria"/>
          <w:color w:val="000000" w:themeColor="text1"/>
          <w:sz w:val="20"/>
          <w:szCs w:val="20"/>
          <w:lang w:val="es-VE"/>
        </w:rPr>
        <w:t xml:space="preserve"> cargo por 5 años consecutivos sin haber sido objeto de ninguna sanción administrativa en el</w:t>
      </w:r>
      <w:r w:rsidR="00240724">
        <w:rPr>
          <w:rFonts w:ascii="Cambria" w:hAnsi="Cambria"/>
          <w:color w:val="000000" w:themeColor="text1"/>
          <w:sz w:val="20"/>
          <w:szCs w:val="20"/>
          <w:lang w:val="es-VE"/>
        </w:rPr>
        <w:t xml:space="preserve"> cumplimiento</w:t>
      </w:r>
      <w:r w:rsidRPr="00476437">
        <w:rPr>
          <w:rFonts w:ascii="Cambria" w:hAnsi="Cambria"/>
          <w:color w:val="000000" w:themeColor="text1"/>
          <w:sz w:val="20"/>
          <w:szCs w:val="20"/>
          <w:lang w:val="es-VE"/>
        </w:rPr>
        <w:t xml:space="preserve"> de sus funciones. Refirió que el 21 de enero de 2003 se resolvió su separación del cargo de Fiscal Adjunto Provisional de la Segunda Fiscalía Penal de la Provincia de Huamanga, Ayacucho, Perú, sin invocar causal alguna y sin proceso previo.</w:t>
      </w:r>
    </w:p>
    <w:p w14:paraId="2042B838"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3AA1FE22"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El Estado alegó que la separación del cargo del</w:t>
      </w:r>
      <w:r w:rsidR="00D31D6E">
        <w:rPr>
          <w:rFonts w:ascii="Cambria" w:hAnsi="Cambria"/>
          <w:color w:val="000000" w:themeColor="text1"/>
          <w:sz w:val="20"/>
          <w:szCs w:val="20"/>
          <w:lang w:val="es-VE"/>
        </w:rPr>
        <w:t xml:space="preserve"> señor Casa Nina</w:t>
      </w:r>
      <w:r w:rsidRPr="00476437">
        <w:rPr>
          <w:rFonts w:ascii="Cambria" w:hAnsi="Cambria"/>
          <w:color w:val="000000" w:themeColor="text1"/>
          <w:sz w:val="20"/>
          <w:szCs w:val="20"/>
          <w:lang w:val="es-VE"/>
        </w:rPr>
        <w:t xml:space="preserve"> no fue un acto de destitución sino una decisión que concluyó su nombramiento como fiscal, la cual resulta válida en virtud del régimen de provisionalidad con el que fue nombrado</w:t>
      </w:r>
      <w:r w:rsidR="00A80188">
        <w:rPr>
          <w:rFonts w:ascii="Cambria" w:hAnsi="Cambria"/>
          <w:color w:val="000000" w:themeColor="text1"/>
          <w:sz w:val="20"/>
          <w:szCs w:val="20"/>
          <w:lang w:val="es-VE"/>
        </w:rPr>
        <w:t>. Agregó que</w:t>
      </w:r>
      <w:r w:rsidRPr="00476437">
        <w:rPr>
          <w:rFonts w:ascii="Cambria" w:hAnsi="Cambria"/>
          <w:color w:val="000000" w:themeColor="text1"/>
          <w:sz w:val="20"/>
          <w:szCs w:val="20"/>
          <w:lang w:val="es-VE"/>
        </w:rPr>
        <w:t>, de acuerdo al marco jurídico aplicable,</w:t>
      </w:r>
      <w:r w:rsidR="00394DDF">
        <w:rPr>
          <w:rFonts w:ascii="Cambria" w:hAnsi="Cambria"/>
          <w:color w:val="000000" w:themeColor="text1"/>
          <w:sz w:val="20"/>
          <w:szCs w:val="20"/>
          <w:lang w:val="es-VE"/>
        </w:rPr>
        <w:t xml:space="preserve"> dicho régimen</w:t>
      </w:r>
      <w:r w:rsidRPr="00476437">
        <w:rPr>
          <w:rFonts w:ascii="Cambria" w:hAnsi="Cambria"/>
          <w:color w:val="000000" w:themeColor="text1"/>
          <w:sz w:val="20"/>
          <w:szCs w:val="20"/>
          <w:lang w:val="es-VE"/>
        </w:rPr>
        <w:t xml:space="preserve"> no genera más derechos que los inherentes a su cargo. Aclaró que mientras que un fiscal titular tiene voca</w:t>
      </w:r>
      <w:r w:rsidR="003157AC">
        <w:rPr>
          <w:rFonts w:ascii="Cambria" w:hAnsi="Cambria"/>
          <w:color w:val="000000" w:themeColor="text1"/>
          <w:sz w:val="20"/>
          <w:szCs w:val="20"/>
          <w:lang w:val="es-VE"/>
        </w:rPr>
        <w:t xml:space="preserve">ción de permanencia, el fiscal </w:t>
      </w:r>
      <w:r w:rsidRPr="00476437">
        <w:rPr>
          <w:rFonts w:ascii="Cambria" w:hAnsi="Cambria"/>
          <w:color w:val="000000" w:themeColor="text1"/>
          <w:sz w:val="20"/>
          <w:szCs w:val="20"/>
          <w:lang w:val="es-VE"/>
        </w:rPr>
        <w:t>provisional no es permanente y solo ejerce sus funciones temporalmente.</w:t>
      </w:r>
    </w:p>
    <w:p w14:paraId="739F2442" w14:textId="77777777" w:rsidR="00476437" w:rsidRPr="00476437" w:rsidRDefault="00476437" w:rsidP="00FE05A0">
      <w:pPr>
        <w:ind w:left="720"/>
        <w:rPr>
          <w:rFonts w:ascii="Cambria" w:eastAsia="Cambria" w:hAnsi="Cambria" w:cs="Cambria"/>
          <w:color w:val="000000" w:themeColor="text1"/>
          <w:sz w:val="20"/>
          <w:szCs w:val="20"/>
          <w:u w:color="000000"/>
          <w:lang w:val="es-VE" w:eastAsia="es-ES"/>
        </w:rPr>
      </w:pPr>
    </w:p>
    <w:p w14:paraId="3B3EE3E0" w14:textId="52F10D3B" w:rsid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6D1AA9">
        <w:rPr>
          <w:rFonts w:ascii="Cambria" w:hAnsi="Cambria"/>
          <w:color w:val="000000" w:themeColor="text1"/>
          <w:sz w:val="20"/>
          <w:szCs w:val="20"/>
          <w:lang w:val="es-VE"/>
        </w:rPr>
        <w:t xml:space="preserve">Con base en las determinaciones de hecho y de derecho, la Comisión Interamericana concluyó que el Estado es responsable por </w:t>
      </w:r>
      <w:r w:rsidR="006D1AA9" w:rsidRPr="006D1AA9">
        <w:rPr>
          <w:rFonts w:ascii="Cambria" w:hAnsi="Cambria"/>
          <w:color w:val="000000" w:themeColor="text1"/>
          <w:sz w:val="20"/>
          <w:szCs w:val="20"/>
          <w:lang w:val="es-VE"/>
        </w:rPr>
        <w:t xml:space="preserve">la violación de los artículos 8.1, </w:t>
      </w:r>
      <w:r w:rsidR="00426B45">
        <w:rPr>
          <w:rFonts w:ascii="Cambria" w:hAnsi="Cambria"/>
          <w:color w:val="000000" w:themeColor="text1"/>
          <w:sz w:val="20"/>
          <w:szCs w:val="20"/>
          <w:lang w:val="es-VE"/>
        </w:rPr>
        <w:t xml:space="preserve">8.2, </w:t>
      </w:r>
      <w:r w:rsidR="006D1AA9" w:rsidRPr="006D1AA9">
        <w:rPr>
          <w:rFonts w:ascii="Cambria" w:hAnsi="Cambria"/>
          <w:color w:val="000000" w:themeColor="text1"/>
          <w:sz w:val="20"/>
          <w:szCs w:val="20"/>
          <w:lang w:val="es-VE"/>
        </w:rPr>
        <w:t>8.2 b), 8.2 c)</w:t>
      </w:r>
      <w:r w:rsidRPr="006D1AA9">
        <w:rPr>
          <w:rFonts w:ascii="Cambria" w:hAnsi="Cambria"/>
          <w:color w:val="000000" w:themeColor="text1"/>
          <w:sz w:val="20"/>
          <w:szCs w:val="20"/>
          <w:lang w:val="es-VE"/>
        </w:rPr>
        <w:t xml:space="preserve"> (</w:t>
      </w:r>
      <w:r w:rsidR="006D1AA9" w:rsidRPr="006D1AA9">
        <w:rPr>
          <w:rFonts w:ascii="Cambria" w:hAnsi="Cambria"/>
          <w:color w:val="000000" w:themeColor="text1"/>
          <w:sz w:val="20"/>
          <w:szCs w:val="20"/>
          <w:lang w:val="es-VE"/>
        </w:rPr>
        <w:t>garantías judiciales</w:t>
      </w:r>
      <w:r w:rsidRPr="006D1AA9">
        <w:rPr>
          <w:rFonts w:ascii="Cambria" w:hAnsi="Cambria"/>
          <w:color w:val="000000" w:themeColor="text1"/>
          <w:sz w:val="20"/>
          <w:szCs w:val="20"/>
          <w:lang w:val="es-VE"/>
        </w:rPr>
        <w:t>)</w:t>
      </w:r>
      <w:r w:rsidR="006D1AA9" w:rsidRPr="006D1AA9">
        <w:rPr>
          <w:rFonts w:ascii="Cambria" w:hAnsi="Cambria"/>
          <w:color w:val="000000" w:themeColor="text1"/>
          <w:sz w:val="20"/>
          <w:szCs w:val="20"/>
          <w:lang w:val="es-VE"/>
        </w:rPr>
        <w:t>, 9 (principio de legalidad)</w:t>
      </w:r>
      <w:r w:rsidR="006642A1">
        <w:rPr>
          <w:rFonts w:ascii="Cambria" w:hAnsi="Cambria"/>
          <w:color w:val="000000" w:themeColor="text1"/>
          <w:sz w:val="20"/>
          <w:szCs w:val="20"/>
          <w:lang w:val="es-VE"/>
        </w:rPr>
        <w:t>, 23</w:t>
      </w:r>
      <w:r w:rsidR="008E003B">
        <w:rPr>
          <w:rFonts w:ascii="Cambria" w:hAnsi="Cambria"/>
          <w:color w:val="000000" w:themeColor="text1"/>
          <w:sz w:val="20"/>
          <w:szCs w:val="20"/>
          <w:lang w:val="es-VE"/>
        </w:rPr>
        <w:t>.1.c (derechos políticos)</w:t>
      </w:r>
      <w:r w:rsidR="006D1AA9" w:rsidRPr="006D1AA9">
        <w:rPr>
          <w:rFonts w:ascii="Cambria" w:hAnsi="Cambria"/>
          <w:color w:val="000000" w:themeColor="text1"/>
          <w:sz w:val="20"/>
          <w:szCs w:val="20"/>
          <w:lang w:val="es-VE"/>
        </w:rPr>
        <w:t xml:space="preserve"> y 25.1 (protección judicial)</w:t>
      </w:r>
      <w:r w:rsidRPr="006D1AA9">
        <w:rPr>
          <w:rFonts w:ascii="Cambria" w:hAnsi="Cambria"/>
          <w:color w:val="000000" w:themeColor="text1"/>
          <w:sz w:val="20"/>
          <w:szCs w:val="20"/>
          <w:lang w:val="es-VE"/>
        </w:rPr>
        <w:t xml:space="preserve"> de la Convención Americana sobre Derechos Humanos (en adelante  “la Convención Americana” o “la Convención”), en relación con las obligaciones establecidas en los </w:t>
      </w:r>
      <w:r w:rsidRPr="006D1AA9">
        <w:rPr>
          <w:rFonts w:ascii="Cambria" w:hAnsi="Cambria"/>
          <w:sz w:val="20"/>
          <w:szCs w:val="20"/>
          <w:lang w:val="es-VE"/>
        </w:rPr>
        <w:t>artícul</w:t>
      </w:r>
      <w:r w:rsidR="006D1AA9" w:rsidRPr="006D1AA9">
        <w:rPr>
          <w:rFonts w:ascii="Cambria" w:hAnsi="Cambria"/>
          <w:sz w:val="20"/>
          <w:szCs w:val="20"/>
          <w:lang w:val="es-VE"/>
        </w:rPr>
        <w:t>o</w:t>
      </w:r>
      <w:r w:rsidRPr="006D1AA9">
        <w:rPr>
          <w:rFonts w:ascii="Cambria" w:hAnsi="Cambria"/>
          <w:sz w:val="20"/>
          <w:szCs w:val="20"/>
          <w:lang w:val="es-VE"/>
        </w:rPr>
        <w:t xml:space="preserve">s </w:t>
      </w:r>
      <w:r w:rsidR="006D1AA9" w:rsidRPr="006D1AA9">
        <w:rPr>
          <w:rFonts w:ascii="Cambria" w:hAnsi="Cambria"/>
          <w:sz w:val="20"/>
          <w:szCs w:val="20"/>
          <w:lang w:val="es-VE"/>
        </w:rPr>
        <w:t xml:space="preserve">1.1 y </w:t>
      </w:r>
      <w:r w:rsidRPr="006D1AA9">
        <w:rPr>
          <w:rFonts w:ascii="Cambria" w:hAnsi="Cambria"/>
          <w:sz w:val="20"/>
          <w:szCs w:val="20"/>
          <w:lang w:val="es-VE"/>
        </w:rPr>
        <w:t>2</w:t>
      </w:r>
      <w:r w:rsidR="006D1AA9" w:rsidRPr="006D1AA9">
        <w:rPr>
          <w:rFonts w:ascii="Cambria" w:hAnsi="Cambria"/>
          <w:sz w:val="20"/>
          <w:szCs w:val="20"/>
          <w:lang w:val="es-VE"/>
        </w:rPr>
        <w:t xml:space="preserve"> </w:t>
      </w:r>
      <w:r w:rsidR="006D1AA9" w:rsidRPr="006D1AA9">
        <w:rPr>
          <w:rFonts w:ascii="Cambria" w:hAnsi="Cambria"/>
          <w:color w:val="000000" w:themeColor="text1"/>
          <w:sz w:val="20"/>
          <w:szCs w:val="20"/>
          <w:lang w:val="es-VE"/>
        </w:rPr>
        <w:t>del mismo instrumento</w:t>
      </w:r>
      <w:r w:rsidRPr="006D1AA9">
        <w:rPr>
          <w:rFonts w:ascii="Cambria" w:hAnsi="Cambria"/>
          <w:color w:val="000000" w:themeColor="text1"/>
          <w:sz w:val="20"/>
          <w:szCs w:val="20"/>
          <w:lang w:val="es-VE"/>
        </w:rPr>
        <w:t>. La Comisión formuló las recomendaciones respectivas.</w:t>
      </w:r>
    </w:p>
    <w:p w14:paraId="76B8D16D" w14:textId="77777777" w:rsidR="00A8066A" w:rsidRPr="006D1AA9" w:rsidRDefault="00A8066A"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2B47469F" w14:textId="77777777" w:rsidR="00476437" w:rsidRDefault="00476437" w:rsidP="00FE05A0">
      <w:pPr>
        <w:pStyle w:val="Heading1"/>
        <w:spacing w:before="0"/>
        <w:ind w:hanging="90"/>
        <w:rPr>
          <w:color w:val="auto"/>
          <w:sz w:val="20"/>
          <w:szCs w:val="20"/>
          <w:lang w:val="es-ES_tradnl"/>
        </w:rPr>
      </w:pPr>
      <w:bookmarkStart w:id="2" w:name="_Toc521483528"/>
      <w:r w:rsidRPr="00140721">
        <w:rPr>
          <w:color w:val="auto"/>
          <w:sz w:val="20"/>
          <w:szCs w:val="20"/>
          <w:lang w:val="es-ES_tradnl"/>
        </w:rPr>
        <w:t>ALEGATOS DE LAS PARTES</w:t>
      </w:r>
      <w:bookmarkEnd w:id="2"/>
    </w:p>
    <w:p w14:paraId="686D1DB2" w14:textId="77777777" w:rsidR="00555C37" w:rsidRPr="00555C37" w:rsidRDefault="00555C37" w:rsidP="00555C37">
      <w:pPr>
        <w:rPr>
          <w:lang w:val="es-ES_tradnl"/>
        </w:rPr>
      </w:pPr>
    </w:p>
    <w:p w14:paraId="3D1930FF" w14:textId="77777777" w:rsidR="00476437" w:rsidRPr="00140721" w:rsidRDefault="00476437" w:rsidP="00FE05A0">
      <w:pPr>
        <w:pStyle w:val="Heading2"/>
        <w:numPr>
          <w:ilvl w:val="0"/>
          <w:numId w:val="57"/>
        </w:numPr>
        <w:spacing w:before="0" w:after="0"/>
        <w:ind w:hanging="90"/>
        <w:rPr>
          <w:rFonts w:asciiTheme="majorHAnsi" w:hAnsiTheme="majorHAnsi"/>
          <w:i w:val="0"/>
          <w:sz w:val="20"/>
          <w:szCs w:val="20"/>
          <w:lang w:val="es-ES_tradnl"/>
        </w:rPr>
      </w:pPr>
      <w:bookmarkStart w:id="3" w:name="_Toc521483529"/>
      <w:r w:rsidRPr="00140721">
        <w:rPr>
          <w:rFonts w:asciiTheme="majorHAnsi" w:hAnsiTheme="majorHAnsi"/>
          <w:i w:val="0"/>
          <w:sz w:val="20"/>
          <w:szCs w:val="20"/>
          <w:lang w:val="es-ES_tradnl"/>
        </w:rPr>
        <w:t>Parte peticionaria</w:t>
      </w:r>
      <w:bookmarkEnd w:id="3"/>
      <w:r w:rsidRPr="00140721">
        <w:rPr>
          <w:rFonts w:asciiTheme="majorHAnsi" w:hAnsiTheme="majorHAnsi"/>
          <w:i w:val="0"/>
          <w:sz w:val="20"/>
          <w:szCs w:val="20"/>
          <w:lang w:val="es-ES_tradnl"/>
        </w:rPr>
        <w:t xml:space="preserve"> </w:t>
      </w:r>
    </w:p>
    <w:p w14:paraId="0A797FBB" w14:textId="77777777" w:rsidR="00476437" w:rsidRPr="00476437" w:rsidRDefault="00476437" w:rsidP="00FE05A0">
      <w:pPr>
        <w:suppressAutoHyphens/>
        <w:ind w:left="1440"/>
        <w:rPr>
          <w:rFonts w:asciiTheme="majorHAnsi" w:eastAsia="Cambria" w:hAnsiTheme="majorHAnsi" w:cs="Cambria"/>
          <w:b/>
          <w:color w:val="000000"/>
          <w:sz w:val="20"/>
          <w:szCs w:val="20"/>
          <w:u w:color="000000"/>
          <w:lang w:val="es-ES_tradnl" w:eastAsia="es-ES"/>
        </w:rPr>
      </w:pPr>
    </w:p>
    <w:p w14:paraId="7225DB48"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 xml:space="preserve">A modo de contexto, el peticionario indicó que entre 1991 y 2000 no existía en Perú un organismo que nombrara a los fiscales y que por ello el Ministerio Público los designaba como provisionales después de realizarles una evaluación. Indicó que los fiscales provisionales ejercían las mismas funciones que un fiscal nombrado pero eran removidos por el Ministerio Público sin </w:t>
      </w:r>
      <w:r w:rsidR="00303ECA">
        <w:rPr>
          <w:rFonts w:ascii="Cambria" w:hAnsi="Cambria"/>
          <w:color w:val="000000" w:themeColor="text1"/>
          <w:sz w:val="20"/>
          <w:szCs w:val="20"/>
          <w:lang w:val="es-VE"/>
        </w:rPr>
        <w:t xml:space="preserve">procedimiento </w:t>
      </w:r>
      <w:r w:rsidRPr="00476437">
        <w:rPr>
          <w:rFonts w:ascii="Cambria" w:hAnsi="Cambria"/>
          <w:color w:val="000000" w:themeColor="text1"/>
          <w:sz w:val="20"/>
          <w:szCs w:val="20"/>
          <w:lang w:val="es-VE"/>
        </w:rPr>
        <w:t xml:space="preserve">previo. Adicionalmente planteó que en esa época la provisionalidad en los cargos tenía un predominio absoluto. </w:t>
      </w:r>
    </w:p>
    <w:p w14:paraId="315A5BC2"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727EEC07" w14:textId="1D937A5A"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Refirió que en ese marco fue designado como Fiscal Adjunto Provincial Provisional en la Fiscalía Provincial Mixta de La Mar mediante resolu</w:t>
      </w:r>
      <w:r w:rsidR="009A580A">
        <w:rPr>
          <w:rFonts w:ascii="Cambria" w:hAnsi="Cambria"/>
          <w:color w:val="000000" w:themeColor="text1"/>
          <w:sz w:val="20"/>
          <w:szCs w:val="20"/>
          <w:lang w:val="es-VE"/>
        </w:rPr>
        <w:t>ción No. 464-98-MP-CEMP de</w:t>
      </w:r>
      <w:r w:rsidRPr="00476437">
        <w:rPr>
          <w:rFonts w:ascii="Cambria" w:hAnsi="Cambria"/>
          <w:color w:val="000000" w:themeColor="text1"/>
          <w:sz w:val="20"/>
          <w:szCs w:val="20"/>
          <w:lang w:val="es-VE"/>
        </w:rPr>
        <w:t xml:space="preserve"> 30 de junio de 1998 y que, posteriormente, mediante resolución No. 565-2002-MP-FN de 8 de abril de 2002 fue designado como Fiscal Adjunto Provincial Provisional en la Segunda Fiscalía Provincial Penal de Huamanga. Indicó que desempeñó el cargo de Fiscal </w:t>
      </w:r>
      <w:r w:rsidR="003A319B">
        <w:rPr>
          <w:rFonts w:ascii="Cambria" w:hAnsi="Cambria"/>
          <w:color w:val="000000" w:themeColor="text1"/>
          <w:sz w:val="20"/>
          <w:szCs w:val="20"/>
          <w:lang w:val="es-VE"/>
        </w:rPr>
        <w:t>durante</w:t>
      </w:r>
      <w:r w:rsidRPr="00476437">
        <w:rPr>
          <w:rFonts w:ascii="Cambria" w:hAnsi="Cambria"/>
          <w:color w:val="000000" w:themeColor="text1"/>
          <w:sz w:val="20"/>
          <w:szCs w:val="20"/>
          <w:lang w:val="es-VE"/>
        </w:rPr>
        <w:t xml:space="preserve"> cinco años consecutivos de forma regular sin haber sido objeto de ninguna sanción administrativa, sujeto a la Ley Laboral y a la Carrera Administrativa, con una remuneración mensual y con los descuentos laborales respectivos. </w:t>
      </w:r>
    </w:p>
    <w:p w14:paraId="0A31BE7C"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31654AED"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Indicó que mediante resolución No. 087-2003-MP-FN de 21 de enero de 2003 la Fiscal de la Nación resolvió su separación del cargo sin invocar causal alguna para ordenar</w:t>
      </w:r>
      <w:r w:rsidR="0034709C">
        <w:rPr>
          <w:rFonts w:ascii="Cambria" w:hAnsi="Cambria"/>
          <w:color w:val="000000" w:themeColor="text1"/>
          <w:sz w:val="20"/>
          <w:szCs w:val="20"/>
          <w:lang w:val="es-VE"/>
        </w:rPr>
        <w:t>la y sin</w:t>
      </w:r>
      <w:r w:rsidRPr="00476437">
        <w:rPr>
          <w:rFonts w:ascii="Cambria" w:hAnsi="Cambria"/>
          <w:color w:val="000000" w:themeColor="text1"/>
          <w:sz w:val="20"/>
          <w:szCs w:val="20"/>
          <w:lang w:val="es-VE"/>
        </w:rPr>
        <w:t xml:space="preserve"> brindarle</w:t>
      </w:r>
      <w:r w:rsidR="003F6EEA">
        <w:rPr>
          <w:rFonts w:ascii="Cambria" w:hAnsi="Cambria"/>
          <w:color w:val="000000" w:themeColor="text1"/>
          <w:sz w:val="20"/>
          <w:szCs w:val="20"/>
          <w:lang w:val="es-VE"/>
        </w:rPr>
        <w:t xml:space="preserve"> la</w:t>
      </w:r>
      <w:r w:rsidRPr="00476437">
        <w:rPr>
          <w:rFonts w:ascii="Cambria" w:hAnsi="Cambria"/>
          <w:color w:val="000000" w:themeColor="text1"/>
          <w:sz w:val="20"/>
          <w:szCs w:val="20"/>
          <w:lang w:val="es-VE"/>
        </w:rPr>
        <w:t xml:space="preserve"> oportunidad para realizar descargos. Expresó que en dicha resolución se hacía referencia a una queja y una denuncia que en ese entonces estaban siendo tramitadas en su contra y de la</w:t>
      </w:r>
      <w:r w:rsidR="005D4AA6">
        <w:rPr>
          <w:rFonts w:ascii="Cambria" w:hAnsi="Cambria"/>
          <w:color w:val="000000" w:themeColor="text1"/>
          <w:sz w:val="20"/>
          <w:szCs w:val="20"/>
          <w:lang w:val="es-VE"/>
        </w:rPr>
        <w:t>s</w:t>
      </w:r>
      <w:r w:rsidRPr="00476437">
        <w:rPr>
          <w:rFonts w:ascii="Cambria" w:hAnsi="Cambria"/>
          <w:color w:val="000000" w:themeColor="text1"/>
          <w:sz w:val="20"/>
          <w:szCs w:val="20"/>
          <w:lang w:val="es-VE"/>
        </w:rPr>
        <w:t xml:space="preserve"> cual</w:t>
      </w:r>
      <w:r w:rsidR="005D4AA6">
        <w:rPr>
          <w:rFonts w:ascii="Cambria" w:hAnsi="Cambria"/>
          <w:color w:val="000000" w:themeColor="text1"/>
          <w:sz w:val="20"/>
          <w:szCs w:val="20"/>
          <w:lang w:val="es-VE"/>
        </w:rPr>
        <w:t>es</w:t>
      </w:r>
      <w:r w:rsidRPr="00476437">
        <w:rPr>
          <w:rFonts w:ascii="Cambria" w:hAnsi="Cambria"/>
          <w:color w:val="000000" w:themeColor="text1"/>
          <w:sz w:val="20"/>
          <w:szCs w:val="20"/>
          <w:lang w:val="es-VE"/>
        </w:rPr>
        <w:t xml:space="preserve"> fue absuelto mediante proceso regular posterior. </w:t>
      </w:r>
    </w:p>
    <w:p w14:paraId="15F84290" w14:textId="77777777" w:rsidR="00476437" w:rsidRPr="00476437" w:rsidRDefault="00476437" w:rsidP="00FE05A0">
      <w:pPr>
        <w:ind w:left="720"/>
        <w:rPr>
          <w:rFonts w:ascii="Cambria" w:eastAsia="Cambria" w:hAnsi="Cambria" w:cs="Cambria"/>
          <w:color w:val="000000" w:themeColor="text1"/>
          <w:sz w:val="20"/>
          <w:szCs w:val="20"/>
          <w:u w:color="000000"/>
          <w:lang w:val="es-VE" w:eastAsia="es-ES"/>
        </w:rPr>
      </w:pPr>
    </w:p>
    <w:p w14:paraId="701E4755"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 xml:space="preserve">Señaló que el 13 de febrero de 2003 planteó un recurso de reconsideración ante la misma autoridad, el cual fue declarado sin lugar el 14 de febrero de 2003 por la Fiscal de la Nación  bajo el fundamento de que su nombramiento fue de carácter temporal. </w:t>
      </w:r>
    </w:p>
    <w:p w14:paraId="54A36A7C" w14:textId="77777777" w:rsidR="00476437" w:rsidRPr="00476437" w:rsidRDefault="00476437" w:rsidP="00FE05A0">
      <w:pPr>
        <w:ind w:left="720"/>
        <w:rPr>
          <w:rFonts w:ascii="Cambria" w:eastAsia="Cambria" w:hAnsi="Cambria" w:cs="Cambria"/>
          <w:color w:val="000000" w:themeColor="text1"/>
          <w:sz w:val="20"/>
          <w:szCs w:val="20"/>
          <w:u w:color="000000"/>
          <w:lang w:val="es-VE" w:eastAsia="es-ES"/>
        </w:rPr>
      </w:pPr>
    </w:p>
    <w:p w14:paraId="1C38F263"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 xml:space="preserve">Expresó que interpuso demanda de acción de amparo ante el Primer Juzgado Especializado en lo Civil de Huamanga, Ayacucho, Perú, la cual fue declarada infundada el 19 de abril de 2005 al considerar que el acto de separación del cargo no constituyó una destitución sustentada en cuestiones de carácter disciplinario, sino en la conclusión de su nombramiento. </w:t>
      </w:r>
    </w:p>
    <w:p w14:paraId="4FB7838D" w14:textId="77777777" w:rsidR="00476437" w:rsidRPr="00476437" w:rsidRDefault="00476437" w:rsidP="00FE05A0">
      <w:pPr>
        <w:ind w:left="720"/>
        <w:rPr>
          <w:rFonts w:ascii="Cambria" w:eastAsia="Cambria" w:hAnsi="Cambria" w:cs="Cambria"/>
          <w:color w:val="000000" w:themeColor="text1"/>
          <w:sz w:val="20"/>
          <w:szCs w:val="20"/>
          <w:u w:color="000000"/>
          <w:lang w:val="es-VE" w:eastAsia="es-ES"/>
        </w:rPr>
      </w:pPr>
    </w:p>
    <w:p w14:paraId="4E3E8BEB" w14:textId="3DC99ECB"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 xml:space="preserve">Indicó  que interpuso un recurso de apelación ante la Sala Civil de Ayacucho, y el 11 de julio de 2005 la Sala Especializada en lo Civil de la Corte Superior de Justicia de Ayacucho resolvió confirmar la resolución del Primer Juzgado Especializado estimando que la presunta víctima no podía hacer valer derechos que corresponden a los fiscales titulares. Finalmente, interpuso recurso de agravio constitucional ante el Tribunal Constitucional contra la resolución de apelación, el cual se declaró infundado, el 14 de noviembre de 2005, considerando que la provisionalidad constituye una situación que no genera más derechos que los inherentes al cargo.  </w:t>
      </w:r>
    </w:p>
    <w:p w14:paraId="508A8C17" w14:textId="77777777" w:rsidR="00476437" w:rsidRPr="00476437" w:rsidRDefault="00476437" w:rsidP="00FE05A0">
      <w:pPr>
        <w:ind w:left="720"/>
        <w:rPr>
          <w:rFonts w:ascii="Cambria" w:eastAsia="Cambria" w:hAnsi="Cambria" w:cs="Cambria"/>
          <w:color w:val="000000" w:themeColor="text1"/>
          <w:sz w:val="20"/>
          <w:szCs w:val="20"/>
          <w:u w:color="000000"/>
          <w:lang w:val="es-VE" w:eastAsia="es-ES"/>
        </w:rPr>
      </w:pPr>
    </w:p>
    <w:p w14:paraId="6E2D2066"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b/>
          <w:color w:val="000000" w:themeColor="text1"/>
          <w:sz w:val="20"/>
          <w:szCs w:val="20"/>
          <w:lang w:val="es-VE"/>
        </w:rPr>
      </w:pPr>
      <w:r w:rsidRPr="00476437">
        <w:rPr>
          <w:rFonts w:ascii="Cambria" w:hAnsi="Cambria"/>
          <w:color w:val="000000" w:themeColor="text1"/>
          <w:sz w:val="20"/>
          <w:szCs w:val="20"/>
          <w:lang w:val="es-VE"/>
        </w:rPr>
        <w:t xml:space="preserve">En cuanto al derecho, la presunta víctima argumentó violaciones a las </w:t>
      </w:r>
      <w:r w:rsidRPr="00476437">
        <w:rPr>
          <w:rFonts w:ascii="Cambria" w:hAnsi="Cambria"/>
          <w:b/>
          <w:color w:val="000000" w:themeColor="text1"/>
          <w:sz w:val="20"/>
          <w:szCs w:val="20"/>
          <w:lang w:val="es-VE"/>
        </w:rPr>
        <w:t>garantías judiciales, principio de legalidad, protección judicial,  derecho al trabajo,  derecho a la honra y dignidad e igualdad ante la ley.</w:t>
      </w:r>
    </w:p>
    <w:p w14:paraId="5440E549"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58A901A7" w14:textId="3A0BB09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 xml:space="preserve">Con respecto a las </w:t>
      </w:r>
      <w:r w:rsidRPr="00476437">
        <w:rPr>
          <w:rFonts w:ascii="Cambria" w:hAnsi="Cambria"/>
          <w:b/>
          <w:color w:val="000000" w:themeColor="text1"/>
          <w:sz w:val="20"/>
          <w:szCs w:val="20"/>
          <w:lang w:val="es-VE"/>
        </w:rPr>
        <w:t>garantías judiciales</w:t>
      </w:r>
      <w:r w:rsidRPr="00476437">
        <w:rPr>
          <w:rFonts w:ascii="Cambria" w:hAnsi="Cambria"/>
          <w:color w:val="000000" w:themeColor="text1"/>
          <w:sz w:val="20"/>
          <w:szCs w:val="20"/>
          <w:lang w:val="es-VE"/>
        </w:rPr>
        <w:t xml:space="preserve">, argumentó que el Estado violó el deber de motivación y sus derechos a la comunicación previa y detallada de la acusación formulada y al tiempo y los medios adecuados para la preparación de su defensa, </w:t>
      </w:r>
      <w:r w:rsidR="003A319B">
        <w:rPr>
          <w:rFonts w:ascii="Cambria" w:hAnsi="Cambria"/>
          <w:color w:val="000000" w:themeColor="text1"/>
          <w:sz w:val="20"/>
          <w:szCs w:val="20"/>
          <w:lang w:val="es-VE"/>
        </w:rPr>
        <w:t>dado que</w:t>
      </w:r>
      <w:r w:rsidRPr="00476437">
        <w:rPr>
          <w:rFonts w:ascii="Cambria" w:hAnsi="Cambria"/>
          <w:color w:val="000000" w:themeColor="text1"/>
          <w:sz w:val="20"/>
          <w:szCs w:val="20"/>
          <w:lang w:val="es-VE"/>
        </w:rPr>
        <w:t xml:space="preserve"> nunca se le hizo conocer algún hecho, situación o imputación en su contra, ni se plantearon cargos de mala o negativa conducta, desconociendo las causas de su destitución. Además,  indicó que la decisión de separación de su cargo por parte de la Fiscalía de la Nación no contaba con motivación, y constituyó un acto arbitrario. </w:t>
      </w:r>
      <w:r w:rsidR="008C1DA6">
        <w:rPr>
          <w:rFonts w:ascii="Cambria" w:hAnsi="Cambria"/>
          <w:color w:val="000000" w:themeColor="text1"/>
          <w:sz w:val="20"/>
          <w:szCs w:val="20"/>
          <w:lang w:val="es-VE"/>
        </w:rPr>
        <w:t>Refirió</w:t>
      </w:r>
      <w:r w:rsidRPr="00476437">
        <w:rPr>
          <w:rFonts w:ascii="Cambria" w:hAnsi="Cambria"/>
          <w:color w:val="000000" w:themeColor="text1"/>
          <w:sz w:val="20"/>
          <w:szCs w:val="20"/>
          <w:lang w:val="es-VE"/>
        </w:rPr>
        <w:t xml:space="preserve"> que no se aplicó la Constitución Política en sus artículos 146 y 158, ni el Reglamento de Organización de funciones de la Fiscalía Superior que garantizan la permanencia e inamovilidad de funcionarios mientras haya buena conducta e idoneidad en sus funciones.</w:t>
      </w:r>
    </w:p>
    <w:p w14:paraId="66B13F3A" w14:textId="77777777" w:rsidR="00476437" w:rsidRPr="00476437" w:rsidRDefault="00476437" w:rsidP="00FE05A0">
      <w:pPr>
        <w:ind w:left="720"/>
        <w:rPr>
          <w:rFonts w:ascii="Cambria" w:eastAsia="Cambria" w:hAnsi="Cambria" w:cs="Cambria"/>
          <w:color w:val="000000" w:themeColor="text1"/>
          <w:sz w:val="20"/>
          <w:szCs w:val="20"/>
          <w:u w:color="000000"/>
          <w:lang w:val="es-VE" w:eastAsia="es-ES"/>
        </w:rPr>
      </w:pPr>
    </w:p>
    <w:p w14:paraId="38D392ED"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 xml:space="preserve">Indicó que se violó el </w:t>
      </w:r>
      <w:r w:rsidRPr="00476437">
        <w:rPr>
          <w:rFonts w:ascii="Cambria" w:hAnsi="Cambria"/>
          <w:b/>
          <w:color w:val="000000" w:themeColor="text1"/>
          <w:sz w:val="20"/>
          <w:szCs w:val="20"/>
          <w:lang w:val="es-VE"/>
        </w:rPr>
        <w:t>principio de legalidad</w:t>
      </w:r>
      <w:r w:rsidR="00416AF7">
        <w:rPr>
          <w:rFonts w:ascii="Cambria" w:hAnsi="Cambria"/>
          <w:color w:val="000000" w:themeColor="text1"/>
          <w:sz w:val="20"/>
          <w:szCs w:val="20"/>
          <w:lang w:val="es-VE"/>
        </w:rPr>
        <w:t xml:space="preserve"> porque se le aplicó la L</w:t>
      </w:r>
      <w:r w:rsidRPr="00476437">
        <w:rPr>
          <w:rFonts w:ascii="Cambria" w:hAnsi="Cambria"/>
          <w:color w:val="000000" w:themeColor="text1"/>
          <w:sz w:val="20"/>
          <w:szCs w:val="20"/>
          <w:lang w:val="es-VE"/>
        </w:rPr>
        <w:t xml:space="preserve">ey 27362, la cual se aprobó con posterioridad a su nombramiento como fiscal y que dejaba sin efecto la homologación entre magistrados titulares y provisionales que estaba reconocida en la Ley 26898 la cual se encontraba vigente cuando fue nombrado Fiscal Provisional. </w:t>
      </w:r>
    </w:p>
    <w:p w14:paraId="27B8556E"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65B233CD"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 xml:space="preserve">Argumentó que se vulneró su </w:t>
      </w:r>
      <w:r w:rsidRPr="00476437">
        <w:rPr>
          <w:rFonts w:ascii="Cambria" w:hAnsi="Cambria"/>
          <w:b/>
          <w:color w:val="000000" w:themeColor="text1"/>
          <w:sz w:val="20"/>
          <w:szCs w:val="20"/>
          <w:lang w:val="es-VE"/>
        </w:rPr>
        <w:t>derecho a la protección judicial</w:t>
      </w:r>
      <w:r w:rsidRPr="00476437">
        <w:rPr>
          <w:rFonts w:ascii="Cambria" w:hAnsi="Cambria"/>
          <w:color w:val="000000" w:themeColor="text1"/>
          <w:sz w:val="20"/>
          <w:szCs w:val="20"/>
          <w:lang w:val="es-VE"/>
        </w:rPr>
        <w:t xml:space="preserve">, debido a que no existió ningún recurso efectivo para controlar jurisdiccionalmente el proceso de separación de su cargo de fiscal provisional. </w:t>
      </w:r>
    </w:p>
    <w:p w14:paraId="007A2D52"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6A296134"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 xml:space="preserve">Refirió que se vulneró su </w:t>
      </w:r>
      <w:r w:rsidRPr="00476437">
        <w:rPr>
          <w:rFonts w:ascii="Cambria" w:hAnsi="Cambria"/>
          <w:b/>
          <w:color w:val="000000" w:themeColor="text1"/>
          <w:sz w:val="20"/>
          <w:szCs w:val="20"/>
          <w:lang w:val="es-VE"/>
        </w:rPr>
        <w:t>derecho al trabajo</w:t>
      </w:r>
      <w:r w:rsidRPr="00476437">
        <w:rPr>
          <w:rFonts w:ascii="Cambria" w:hAnsi="Cambria"/>
          <w:color w:val="000000" w:themeColor="text1"/>
          <w:sz w:val="20"/>
          <w:szCs w:val="20"/>
          <w:lang w:val="es-VE"/>
        </w:rPr>
        <w:t xml:space="preserve"> al haber sido separado de su cargo de manera arbitraria. </w:t>
      </w:r>
    </w:p>
    <w:p w14:paraId="5082ED7E" w14:textId="77777777" w:rsidR="00476437" w:rsidRPr="00476437" w:rsidRDefault="00476437" w:rsidP="00FE05A0">
      <w:pPr>
        <w:ind w:left="720"/>
        <w:rPr>
          <w:rFonts w:ascii="Cambria" w:eastAsia="Cambria" w:hAnsi="Cambria" w:cs="Cambria"/>
          <w:color w:val="000000" w:themeColor="text1"/>
          <w:sz w:val="20"/>
          <w:szCs w:val="20"/>
          <w:u w:color="000000"/>
          <w:lang w:val="es-VE" w:eastAsia="es-ES"/>
        </w:rPr>
      </w:pPr>
    </w:p>
    <w:p w14:paraId="49DDEBC4" w14:textId="77777777" w:rsidR="00555C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 xml:space="preserve">El peticionario continuó alegando violaciones a sus derechos a la honra y dignidad e igualdad ante la ley. La CIDH no recapitulará dichos argumentos tomando en cuenta que fueron declarados inadmisibles en el informe de </w:t>
      </w:r>
      <w:r w:rsidR="003B3838">
        <w:rPr>
          <w:rFonts w:ascii="Cambria" w:hAnsi="Cambria"/>
          <w:color w:val="000000" w:themeColor="text1"/>
          <w:sz w:val="20"/>
          <w:szCs w:val="20"/>
          <w:lang w:val="es-VE"/>
        </w:rPr>
        <w:t xml:space="preserve">admisibilidad </w:t>
      </w:r>
      <w:r w:rsidRPr="00476437">
        <w:rPr>
          <w:rFonts w:ascii="Cambria" w:hAnsi="Cambria"/>
          <w:color w:val="000000" w:themeColor="text1"/>
          <w:sz w:val="20"/>
          <w:szCs w:val="20"/>
          <w:lang w:val="es-VE"/>
        </w:rPr>
        <w:t>del presente caso.</w:t>
      </w:r>
    </w:p>
    <w:p w14:paraId="61AA94BE" w14:textId="77777777" w:rsidR="00476437" w:rsidRPr="00476437" w:rsidRDefault="00476437" w:rsidP="00555C3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 xml:space="preserve"> </w:t>
      </w:r>
    </w:p>
    <w:p w14:paraId="6819355B" w14:textId="77777777" w:rsidR="00476437" w:rsidRPr="00140721" w:rsidRDefault="00476437" w:rsidP="00FE05A0">
      <w:pPr>
        <w:pStyle w:val="Heading2"/>
        <w:numPr>
          <w:ilvl w:val="0"/>
          <w:numId w:val="57"/>
        </w:numPr>
        <w:spacing w:before="0" w:after="0"/>
        <w:ind w:hanging="90"/>
        <w:rPr>
          <w:rFonts w:asciiTheme="majorHAnsi" w:hAnsiTheme="majorHAnsi"/>
          <w:bCs w:val="0"/>
          <w:i w:val="0"/>
          <w:iCs w:val="0"/>
          <w:sz w:val="20"/>
          <w:szCs w:val="20"/>
          <w:lang w:val="es-ES_tradnl"/>
        </w:rPr>
      </w:pPr>
      <w:bookmarkStart w:id="4" w:name="_Toc521483530"/>
      <w:r w:rsidRPr="00140721">
        <w:rPr>
          <w:rFonts w:asciiTheme="majorHAnsi" w:hAnsiTheme="majorHAnsi"/>
          <w:i w:val="0"/>
          <w:sz w:val="20"/>
          <w:szCs w:val="20"/>
          <w:lang w:val="es-ES_tradnl"/>
        </w:rPr>
        <w:t>Estado</w:t>
      </w:r>
      <w:bookmarkEnd w:id="4"/>
    </w:p>
    <w:p w14:paraId="2A20D953" w14:textId="77777777" w:rsidR="00476437" w:rsidRPr="00476437" w:rsidRDefault="00476437" w:rsidP="00FE05A0">
      <w:pPr>
        <w:suppressAutoHyphens/>
        <w:rPr>
          <w:rFonts w:asciiTheme="majorHAnsi" w:hAnsiTheme="majorHAnsi"/>
          <w:sz w:val="20"/>
          <w:szCs w:val="20"/>
          <w:lang w:val="es-ES_tradnl"/>
        </w:rPr>
      </w:pPr>
    </w:p>
    <w:p w14:paraId="493E02E5"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El Estado refirió que no existía un contexto de predominio absoluto de provisionalidad de fiscales como argumentó la presunta víctima, y que en todo caso resulta irrelevante porque el ámbito temporal del contexto alegado es entre 1991 y 2000, y los hechos del presente caso datan de 2003.</w:t>
      </w:r>
    </w:p>
    <w:p w14:paraId="6B01D871"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40D94B4E"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Manifestó que la presunta víctima no fue destituida ni sujeta a una sanción disciplinaria sino que la separación se produjo al dar por concluido su nombramiento de carácter provisional. Precisó que los fiscales provision</w:t>
      </w:r>
      <w:r w:rsidR="00416AF7">
        <w:rPr>
          <w:rFonts w:ascii="Cambria" w:hAnsi="Cambria"/>
          <w:color w:val="000000" w:themeColor="text1"/>
          <w:sz w:val="20"/>
          <w:szCs w:val="20"/>
          <w:lang w:val="es-VE"/>
        </w:rPr>
        <w:t xml:space="preserve">ales y titulares no tienen los </w:t>
      </w:r>
      <w:r w:rsidRPr="00476437">
        <w:rPr>
          <w:rFonts w:ascii="Cambria" w:hAnsi="Cambria"/>
          <w:color w:val="000000" w:themeColor="text1"/>
          <w:sz w:val="20"/>
          <w:szCs w:val="20"/>
          <w:lang w:val="es-VE"/>
        </w:rPr>
        <w:t xml:space="preserve">mismos derechos ni se le aplican los mismos procedimientos,  por lo que no podía ser exigible la aplicación de procedimientos tales como el de la destitución. Indicó que dentro del ordenamiento jurídico peruano no existe un procedimiento de desvinculación, o destitución, aplicable a fiscales adjuntos provisionales. </w:t>
      </w:r>
    </w:p>
    <w:p w14:paraId="6B2ACAAC"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63AE126E"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 xml:space="preserve">El Estado explicó que, de acuerdo a la legislación peruana, el cargo en provisionalidad en el cual se desempeñaba la presunta víctima es un cargo de confianza, temporal, que no genera más derechos </w:t>
      </w:r>
      <w:r w:rsidR="00814114">
        <w:rPr>
          <w:rFonts w:ascii="Cambria" w:hAnsi="Cambria"/>
          <w:color w:val="000000" w:themeColor="text1"/>
          <w:sz w:val="20"/>
          <w:szCs w:val="20"/>
          <w:lang w:val="es-VE"/>
        </w:rPr>
        <w:t xml:space="preserve">que los que le son inherentes. </w:t>
      </w:r>
      <w:r w:rsidRPr="00476437">
        <w:rPr>
          <w:rFonts w:ascii="Cambria" w:hAnsi="Cambria"/>
          <w:color w:val="000000" w:themeColor="text1"/>
          <w:sz w:val="20"/>
          <w:szCs w:val="20"/>
          <w:lang w:val="es-VE"/>
        </w:rPr>
        <w:t xml:space="preserve">Refirió que si bien la Ley </w:t>
      </w:r>
      <w:r w:rsidR="00100A84">
        <w:rPr>
          <w:rFonts w:ascii="Cambria" w:hAnsi="Cambria"/>
          <w:color w:val="000000" w:themeColor="text1"/>
          <w:sz w:val="20"/>
          <w:szCs w:val="20"/>
          <w:lang w:val="es-VE"/>
        </w:rPr>
        <w:t>N</w:t>
      </w:r>
      <w:r w:rsidRPr="00476437">
        <w:rPr>
          <w:rFonts w:ascii="Cambria" w:hAnsi="Cambria"/>
          <w:color w:val="000000" w:themeColor="text1"/>
          <w:sz w:val="20"/>
          <w:szCs w:val="20"/>
          <w:lang w:val="es-VE"/>
        </w:rPr>
        <w:t>o. 24041 indica que “los servidores públicos contratados para labores permanentes, no pueden ser cesados o destituidos, sino por causas previstas en el Decreto Legislativo 276” tal ley no incluye a quienes desempeñan funcion</w:t>
      </w:r>
      <w:r w:rsidR="00814114">
        <w:rPr>
          <w:rFonts w:ascii="Cambria" w:hAnsi="Cambria"/>
          <w:color w:val="000000" w:themeColor="text1"/>
          <w:sz w:val="20"/>
          <w:szCs w:val="20"/>
          <w:lang w:val="es-VE"/>
        </w:rPr>
        <w:t xml:space="preserve">es “políticas o de confianza”. Refirió que por lo anterior, </w:t>
      </w:r>
      <w:r w:rsidRPr="00476437">
        <w:rPr>
          <w:rFonts w:ascii="Cambria" w:hAnsi="Cambria"/>
          <w:color w:val="000000" w:themeColor="text1"/>
          <w:sz w:val="20"/>
          <w:szCs w:val="20"/>
          <w:lang w:val="es-VE"/>
        </w:rPr>
        <w:t xml:space="preserve">la separación del cargo de la presunta víctima no vulneró ningún derecho constitucional ni convencional, porque fue ordenado por la Fiscalía de la Nación en el marco de las facultades que le otorga la ley. </w:t>
      </w:r>
    </w:p>
    <w:p w14:paraId="2806002C" w14:textId="77777777" w:rsidR="00476437" w:rsidRPr="00476437" w:rsidRDefault="00476437" w:rsidP="00FE05A0">
      <w:pPr>
        <w:ind w:left="720"/>
        <w:rPr>
          <w:rFonts w:ascii="Cambria" w:eastAsia="Cambria" w:hAnsi="Cambria" w:cs="Cambria"/>
          <w:color w:val="000000" w:themeColor="text1"/>
          <w:sz w:val="20"/>
          <w:szCs w:val="20"/>
          <w:u w:color="000000"/>
          <w:lang w:val="es-VE" w:eastAsia="es-ES"/>
        </w:rPr>
      </w:pPr>
    </w:p>
    <w:p w14:paraId="09415548"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 xml:space="preserve">Añadió que la presunta víctima desempeñaba el cargo de fiscal adjunto provisional, es decir, realizaba una labor de apoyo al fiscal titular, sin vocación de permanencia, e indicó que si bien en su nombramiento no </w:t>
      </w:r>
      <w:r w:rsidR="00814114">
        <w:rPr>
          <w:rFonts w:ascii="Cambria" w:hAnsi="Cambria"/>
          <w:color w:val="000000" w:themeColor="text1"/>
          <w:sz w:val="20"/>
          <w:szCs w:val="20"/>
          <w:lang w:val="es-VE"/>
        </w:rPr>
        <w:t>se precisaba un plazo especí</w:t>
      </w:r>
      <w:r w:rsidRPr="00476437">
        <w:rPr>
          <w:rFonts w:ascii="Cambria" w:hAnsi="Cambria"/>
          <w:color w:val="000000" w:themeColor="text1"/>
          <w:sz w:val="20"/>
          <w:szCs w:val="20"/>
          <w:lang w:val="es-VE"/>
        </w:rPr>
        <w:t>fico de finalización, la duración estaba condicionada a las necesidades de servicio. Además, refirió que la falta de término resolutorio de los nombramientos no forma parte de la controversia.</w:t>
      </w:r>
    </w:p>
    <w:p w14:paraId="2A714E99" w14:textId="77777777" w:rsidR="00476437" w:rsidRPr="00476437" w:rsidRDefault="00476437" w:rsidP="00FE05A0">
      <w:pPr>
        <w:ind w:left="720"/>
        <w:rPr>
          <w:rFonts w:ascii="Cambria" w:eastAsia="Cambria" w:hAnsi="Cambria" w:cs="Cambria"/>
          <w:color w:val="000000" w:themeColor="text1"/>
          <w:sz w:val="20"/>
          <w:szCs w:val="20"/>
          <w:u w:color="000000"/>
          <w:lang w:val="es-VE" w:eastAsia="es-ES"/>
        </w:rPr>
      </w:pPr>
    </w:p>
    <w:p w14:paraId="57E11A33"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 xml:space="preserve">Indicó que los fiscales provisionales cuentan con todas las debidas garantías en el marco de procesos de cese de sus nombramientos, pues por un lado se motivan las resoluciones que finalizan sus cargos, y por otra parte, cuentan con la posibilidad de ejercer sus derechos a la defensa por medio del recurso de reconsideración y el proceso de amparo. </w:t>
      </w:r>
    </w:p>
    <w:p w14:paraId="71B6EF77" w14:textId="77777777" w:rsidR="00476437" w:rsidRPr="00476437" w:rsidRDefault="00476437" w:rsidP="00FE05A0">
      <w:pPr>
        <w:ind w:left="720"/>
        <w:rPr>
          <w:rFonts w:ascii="Cambria" w:eastAsia="Cambria" w:hAnsi="Cambria" w:cs="Cambria"/>
          <w:color w:val="000000" w:themeColor="text1"/>
          <w:sz w:val="20"/>
          <w:szCs w:val="20"/>
          <w:u w:color="000000"/>
          <w:lang w:val="es-VE" w:eastAsia="es-ES"/>
        </w:rPr>
      </w:pPr>
    </w:p>
    <w:p w14:paraId="120D9960"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b/>
          <w:color w:val="000000" w:themeColor="text1"/>
          <w:sz w:val="20"/>
          <w:szCs w:val="20"/>
          <w:lang w:val="es-VE"/>
        </w:rPr>
      </w:pPr>
      <w:r w:rsidRPr="00476437">
        <w:rPr>
          <w:rFonts w:ascii="Cambria" w:hAnsi="Cambria"/>
          <w:color w:val="000000" w:themeColor="text1"/>
          <w:sz w:val="20"/>
          <w:szCs w:val="20"/>
          <w:lang w:val="es-VE"/>
        </w:rPr>
        <w:t xml:space="preserve">En cuanto al derecho, indicó que no vulneró los derechos a las </w:t>
      </w:r>
      <w:r w:rsidRPr="00476437">
        <w:rPr>
          <w:rFonts w:ascii="Cambria" w:hAnsi="Cambria"/>
          <w:b/>
          <w:color w:val="000000" w:themeColor="text1"/>
          <w:sz w:val="20"/>
          <w:szCs w:val="20"/>
          <w:lang w:val="es-VE"/>
        </w:rPr>
        <w:t xml:space="preserve">garantías judiciales y protección judicial, ni al principio de legalidad. </w:t>
      </w:r>
      <w:r w:rsidRPr="00476437">
        <w:rPr>
          <w:rFonts w:ascii="Cambria" w:hAnsi="Cambria"/>
          <w:color w:val="000000" w:themeColor="text1"/>
          <w:sz w:val="20"/>
          <w:szCs w:val="20"/>
          <w:lang w:val="es-VE"/>
        </w:rPr>
        <w:t xml:space="preserve">Respecto a la </w:t>
      </w:r>
      <w:r w:rsidRPr="00476437">
        <w:rPr>
          <w:rFonts w:ascii="Cambria" w:hAnsi="Cambria"/>
          <w:b/>
          <w:color w:val="000000" w:themeColor="text1"/>
          <w:sz w:val="20"/>
          <w:szCs w:val="20"/>
          <w:lang w:val="es-VE"/>
        </w:rPr>
        <w:t>estabilidad laboral</w:t>
      </w:r>
      <w:r w:rsidRPr="00476437">
        <w:rPr>
          <w:rFonts w:ascii="Cambria" w:hAnsi="Cambria"/>
          <w:color w:val="000000" w:themeColor="text1"/>
          <w:sz w:val="20"/>
          <w:szCs w:val="20"/>
          <w:lang w:val="es-VE"/>
        </w:rPr>
        <w:t xml:space="preserve"> expresó que el sistema de peticiones individuales de la Convención no comprende el derecho a la estabilidad en el trabajo como uno de los derechos sobre los cuales la Comisión cuente con competencia por razón de la materia.</w:t>
      </w:r>
      <w:r w:rsidRPr="00476437">
        <w:rPr>
          <w:rFonts w:ascii="Cambria" w:hAnsi="Cambria"/>
          <w:b/>
          <w:color w:val="000000" w:themeColor="text1"/>
          <w:sz w:val="20"/>
          <w:szCs w:val="20"/>
          <w:lang w:val="es-VE"/>
        </w:rPr>
        <w:t xml:space="preserve"> </w:t>
      </w:r>
    </w:p>
    <w:p w14:paraId="2EC1B624"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58755ABE" w14:textId="6D827149" w:rsid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 xml:space="preserve">Refirió que no vulneró las </w:t>
      </w:r>
      <w:r w:rsidRPr="00476437">
        <w:rPr>
          <w:rFonts w:ascii="Cambria" w:hAnsi="Cambria"/>
          <w:b/>
          <w:color w:val="000000" w:themeColor="text1"/>
          <w:sz w:val="20"/>
          <w:szCs w:val="20"/>
          <w:lang w:val="es-VE"/>
        </w:rPr>
        <w:t>garantías judiciales y protección judicial</w:t>
      </w:r>
      <w:r w:rsidRPr="00476437">
        <w:rPr>
          <w:rFonts w:ascii="Cambria" w:hAnsi="Cambria"/>
          <w:color w:val="000000" w:themeColor="text1"/>
          <w:sz w:val="20"/>
          <w:szCs w:val="20"/>
          <w:lang w:val="es-VE"/>
        </w:rPr>
        <w:t xml:space="preserve">, toda vez que la presunta víctima tuvo acceso a distintas instancias jurisdiccionales en las que </w:t>
      </w:r>
      <w:r w:rsidR="00814114">
        <w:rPr>
          <w:rFonts w:ascii="Cambria" w:hAnsi="Cambria"/>
          <w:color w:val="000000" w:themeColor="text1"/>
          <w:sz w:val="20"/>
          <w:szCs w:val="20"/>
          <w:lang w:val="es-VE"/>
        </w:rPr>
        <w:t>contó con</w:t>
      </w:r>
      <w:r w:rsidRPr="00476437">
        <w:rPr>
          <w:rFonts w:ascii="Cambria" w:hAnsi="Cambria"/>
          <w:color w:val="000000" w:themeColor="text1"/>
          <w:sz w:val="20"/>
          <w:szCs w:val="20"/>
          <w:lang w:val="es-VE"/>
        </w:rPr>
        <w:t xml:space="preserve"> la oportunidad de defenderse y con las</w:t>
      </w:r>
      <w:r w:rsidR="00814114">
        <w:rPr>
          <w:rFonts w:ascii="Cambria" w:hAnsi="Cambria"/>
          <w:color w:val="000000" w:themeColor="text1"/>
          <w:sz w:val="20"/>
          <w:szCs w:val="20"/>
          <w:lang w:val="es-VE"/>
        </w:rPr>
        <w:t xml:space="preserve"> garantías del debido proceso. </w:t>
      </w:r>
      <w:r w:rsidRPr="00476437">
        <w:rPr>
          <w:rFonts w:ascii="Cambria" w:hAnsi="Cambria"/>
          <w:color w:val="000000" w:themeColor="text1"/>
          <w:sz w:val="20"/>
          <w:szCs w:val="20"/>
          <w:lang w:val="es-VE"/>
        </w:rPr>
        <w:t>Precisó que no podían ser objetos de tutela los derechos que la presunta víctima alegó ante las instancias nacionales porque los mismos aplican a fiscales titulares y no</w:t>
      </w:r>
      <w:r w:rsidR="003A319B">
        <w:rPr>
          <w:rFonts w:ascii="Cambria" w:hAnsi="Cambria"/>
          <w:color w:val="000000" w:themeColor="text1"/>
          <w:sz w:val="20"/>
          <w:szCs w:val="20"/>
          <w:lang w:val="es-VE"/>
        </w:rPr>
        <w:t xml:space="preserve"> a los </w:t>
      </w:r>
      <w:r w:rsidRPr="00476437">
        <w:rPr>
          <w:rFonts w:ascii="Cambria" w:hAnsi="Cambria"/>
          <w:color w:val="000000" w:themeColor="text1"/>
          <w:sz w:val="20"/>
          <w:szCs w:val="20"/>
          <w:lang w:val="es-VE"/>
        </w:rPr>
        <w:t xml:space="preserve"> provisionales. </w:t>
      </w:r>
    </w:p>
    <w:p w14:paraId="292718CC" w14:textId="77777777" w:rsidR="00CC04F2" w:rsidRPr="00476437" w:rsidRDefault="00CC04F2"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5BEF018E"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 xml:space="preserve">Indicó que no vulneró el </w:t>
      </w:r>
      <w:r w:rsidRPr="00476437">
        <w:rPr>
          <w:rFonts w:ascii="Cambria" w:hAnsi="Cambria"/>
          <w:b/>
          <w:color w:val="000000" w:themeColor="text1"/>
          <w:sz w:val="20"/>
          <w:szCs w:val="20"/>
          <w:lang w:val="es-VE"/>
        </w:rPr>
        <w:t xml:space="preserve">principio de legalidad </w:t>
      </w:r>
      <w:r w:rsidRPr="00476437">
        <w:rPr>
          <w:rFonts w:ascii="Cambria" w:hAnsi="Cambria"/>
          <w:color w:val="000000" w:themeColor="text1"/>
          <w:sz w:val="20"/>
          <w:szCs w:val="20"/>
          <w:lang w:val="es-VE"/>
        </w:rPr>
        <w:t xml:space="preserve">debido a que las resoluciones que confirmaron la conclusión del nombramiento de la presunta víctima tienen fundamento en las leyes vigentes. </w:t>
      </w:r>
      <w:r w:rsidR="00771FCD">
        <w:rPr>
          <w:rFonts w:ascii="Cambria" w:hAnsi="Cambria"/>
          <w:color w:val="000000" w:themeColor="text1"/>
          <w:sz w:val="20"/>
          <w:szCs w:val="20"/>
          <w:lang w:val="es-VE"/>
        </w:rPr>
        <w:t xml:space="preserve">Señaló </w:t>
      </w:r>
      <w:r w:rsidRPr="00476437">
        <w:rPr>
          <w:rFonts w:ascii="Cambria" w:hAnsi="Cambria"/>
          <w:color w:val="000000" w:themeColor="text1"/>
          <w:sz w:val="20"/>
          <w:szCs w:val="20"/>
          <w:lang w:val="es-VE"/>
        </w:rPr>
        <w:t xml:space="preserve">al respecto que la Ley 26898 que equipara derechos y deberes de fiscales provisionales con titulares fue derogada por la Ley 27362. Es decir que desde el segundo nombramiento de la presunta víctima, ya </w:t>
      </w:r>
      <w:r w:rsidR="00814114">
        <w:rPr>
          <w:rFonts w:ascii="Cambria" w:hAnsi="Cambria"/>
          <w:color w:val="000000" w:themeColor="text1"/>
          <w:sz w:val="20"/>
          <w:szCs w:val="20"/>
          <w:lang w:val="es-VE"/>
        </w:rPr>
        <w:t xml:space="preserve">le era aplicable la nueva ley. </w:t>
      </w:r>
      <w:r w:rsidRPr="00476437">
        <w:rPr>
          <w:rFonts w:ascii="Cambria" w:hAnsi="Cambria"/>
          <w:color w:val="000000" w:themeColor="text1"/>
          <w:sz w:val="20"/>
          <w:szCs w:val="20"/>
          <w:lang w:val="es-VE"/>
        </w:rPr>
        <w:t>Adicionalmente resaltó</w:t>
      </w:r>
      <w:r w:rsidRPr="00476437">
        <w:rPr>
          <w:rFonts w:ascii="Cambria" w:hAnsi="Cambria"/>
          <w:color w:val="000000" w:themeColor="text1"/>
          <w:sz w:val="20"/>
          <w:szCs w:val="20"/>
          <w:lang w:val="es-CL"/>
        </w:rPr>
        <w:t xml:space="preserve"> que la fundamentación de la primera y la segunda resolución que dan por concluido</w:t>
      </w:r>
      <w:r w:rsidR="00341807">
        <w:rPr>
          <w:rFonts w:ascii="Cambria" w:hAnsi="Cambria"/>
          <w:color w:val="000000" w:themeColor="text1"/>
          <w:sz w:val="20"/>
          <w:szCs w:val="20"/>
          <w:lang w:val="es-CL"/>
        </w:rPr>
        <w:t>s</w:t>
      </w:r>
      <w:r w:rsidRPr="00476437">
        <w:rPr>
          <w:rFonts w:ascii="Cambria" w:hAnsi="Cambria"/>
          <w:color w:val="000000" w:themeColor="text1"/>
          <w:sz w:val="20"/>
          <w:szCs w:val="20"/>
          <w:lang w:val="es-CL"/>
        </w:rPr>
        <w:t xml:space="preserve"> sus diferentes nombramientos son idénticas, pero</w:t>
      </w:r>
      <w:r w:rsidR="00D727DC">
        <w:rPr>
          <w:rFonts w:ascii="Cambria" w:hAnsi="Cambria"/>
          <w:color w:val="000000" w:themeColor="text1"/>
          <w:sz w:val="20"/>
          <w:szCs w:val="20"/>
          <w:lang w:val="es-CL"/>
        </w:rPr>
        <w:t xml:space="preserve"> el peticionario</w:t>
      </w:r>
      <w:r w:rsidRPr="00476437">
        <w:rPr>
          <w:rFonts w:ascii="Cambria" w:hAnsi="Cambria"/>
          <w:color w:val="000000" w:themeColor="text1"/>
          <w:sz w:val="20"/>
          <w:szCs w:val="20"/>
          <w:lang w:val="es-CL"/>
        </w:rPr>
        <w:t xml:space="preserve"> sólo cuestiona la segunda, estando de acuerdo con la primera. </w:t>
      </w:r>
    </w:p>
    <w:p w14:paraId="7B1B8E4E"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6B2F51DA" w14:textId="4805F2EC" w:rsidR="004F5D6B"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 xml:space="preserve">Finalmente informó que en 2014 la Fiscalía de la Nación aprobó el ”Reglamento para el nombramiento, evaluación y permanencia de los fiscales provisionales a nivel nacional”, el cual contiene principios para la elección de fiscales provisionales, tales como la necesidad, es decir, que el fiscal provisional ocupará el cargo en tanto exista la necesidad del servicio. También informó sobre la aprobación </w:t>
      </w:r>
      <w:r w:rsidR="009F2E61">
        <w:rPr>
          <w:rFonts w:ascii="Cambria" w:hAnsi="Cambria"/>
          <w:color w:val="000000" w:themeColor="text1"/>
          <w:sz w:val="20"/>
          <w:szCs w:val="20"/>
          <w:lang w:val="es-VE"/>
        </w:rPr>
        <w:t xml:space="preserve">de la Ley de la Carrera Fiscal </w:t>
      </w:r>
      <w:r w:rsidRPr="00476437">
        <w:rPr>
          <w:rFonts w:ascii="Cambria" w:hAnsi="Cambria"/>
          <w:color w:val="000000" w:themeColor="text1"/>
          <w:sz w:val="20"/>
          <w:szCs w:val="20"/>
          <w:lang w:val="es-VE"/>
        </w:rPr>
        <w:t xml:space="preserve">en </w:t>
      </w:r>
      <w:r w:rsidR="003A319B">
        <w:rPr>
          <w:rFonts w:ascii="Cambria" w:hAnsi="Cambria"/>
          <w:color w:val="000000" w:themeColor="text1"/>
          <w:sz w:val="20"/>
          <w:szCs w:val="20"/>
          <w:lang w:val="es-VE"/>
        </w:rPr>
        <w:t>la cual</w:t>
      </w:r>
      <w:r w:rsidRPr="00476437">
        <w:rPr>
          <w:rFonts w:ascii="Cambria" w:hAnsi="Cambria"/>
          <w:color w:val="000000" w:themeColor="text1"/>
          <w:sz w:val="20"/>
          <w:szCs w:val="20"/>
          <w:lang w:val="es-VE"/>
        </w:rPr>
        <w:t xml:space="preserve"> se define con claridad la diferencia entre fiscales titulares y fiscales provisionales.</w:t>
      </w:r>
    </w:p>
    <w:p w14:paraId="1163FA6E"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 xml:space="preserve"> </w:t>
      </w:r>
    </w:p>
    <w:p w14:paraId="6EF1EED7" w14:textId="2056E1DF" w:rsidR="001C45CE" w:rsidRDefault="00476437" w:rsidP="001C45CE">
      <w:pPr>
        <w:pStyle w:val="Heading1"/>
        <w:spacing w:before="0"/>
        <w:ind w:hanging="90"/>
        <w:rPr>
          <w:bCs w:val="0"/>
          <w:color w:val="000000" w:themeColor="text1"/>
          <w:sz w:val="20"/>
          <w:szCs w:val="20"/>
          <w:lang w:val="es-ES_tradnl"/>
        </w:rPr>
      </w:pPr>
      <w:bookmarkStart w:id="5" w:name="_Toc521483531"/>
      <w:r w:rsidRPr="00CC04F2">
        <w:rPr>
          <w:color w:val="auto"/>
          <w:sz w:val="20"/>
          <w:szCs w:val="20"/>
          <w:lang w:val="es-ES_tradnl"/>
        </w:rPr>
        <w:t>DETERMINACIONES DE HECHO</w:t>
      </w:r>
      <w:bookmarkEnd w:id="5"/>
    </w:p>
    <w:p w14:paraId="4023F005" w14:textId="77777777" w:rsidR="001C45CE" w:rsidRPr="001C45CE" w:rsidRDefault="001C45CE" w:rsidP="001C45CE">
      <w:pPr>
        <w:rPr>
          <w:lang w:val="es-ES_tradnl"/>
        </w:rPr>
      </w:pPr>
    </w:p>
    <w:p w14:paraId="0B4C7E61" w14:textId="77777777" w:rsidR="00476437" w:rsidRPr="00CC04F2" w:rsidRDefault="00476437" w:rsidP="00FE05A0">
      <w:pPr>
        <w:pStyle w:val="Heading2"/>
        <w:numPr>
          <w:ilvl w:val="0"/>
          <w:numId w:val="58"/>
        </w:numPr>
        <w:spacing w:before="0" w:after="0"/>
        <w:ind w:hanging="90"/>
        <w:rPr>
          <w:rFonts w:asciiTheme="majorHAnsi" w:hAnsiTheme="majorHAnsi"/>
          <w:i w:val="0"/>
          <w:sz w:val="20"/>
          <w:szCs w:val="20"/>
          <w:lang w:val="es-ES_tradnl"/>
        </w:rPr>
      </w:pPr>
      <w:bookmarkStart w:id="6" w:name="_Toc521483532"/>
      <w:r w:rsidRPr="00CC04F2">
        <w:rPr>
          <w:rFonts w:asciiTheme="majorHAnsi" w:hAnsiTheme="majorHAnsi"/>
          <w:i w:val="0"/>
          <w:sz w:val="20"/>
          <w:szCs w:val="20"/>
          <w:lang w:val="es-ES_tradnl"/>
        </w:rPr>
        <w:t>Sobre los nombramientos de la presunta víctima</w:t>
      </w:r>
      <w:bookmarkEnd w:id="6"/>
    </w:p>
    <w:p w14:paraId="10991094" w14:textId="77777777" w:rsidR="00476437" w:rsidRPr="00476437" w:rsidRDefault="00476437" w:rsidP="001C45CE">
      <w:pPr>
        <w:jc w:val="both"/>
        <w:rPr>
          <w:rFonts w:ascii="Cambria" w:hAnsi="Cambria"/>
          <w:color w:val="000000" w:themeColor="text1"/>
          <w:sz w:val="20"/>
          <w:szCs w:val="20"/>
          <w:lang w:val="es-VE"/>
        </w:rPr>
      </w:pPr>
    </w:p>
    <w:p w14:paraId="5B1DC03A"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Seg</w:t>
      </w:r>
      <w:r w:rsidRPr="00476437">
        <w:rPr>
          <w:rFonts w:ascii="Cambria" w:hAnsi="Cambria"/>
          <w:color w:val="000000" w:themeColor="text1"/>
          <w:sz w:val="20"/>
          <w:szCs w:val="20"/>
          <w:lang w:val="es-CL"/>
        </w:rPr>
        <w:t>ún consta en el expe</w:t>
      </w:r>
      <w:r w:rsidR="00CC0425">
        <w:rPr>
          <w:rFonts w:ascii="Cambria" w:hAnsi="Cambria"/>
          <w:color w:val="000000" w:themeColor="text1"/>
          <w:sz w:val="20"/>
          <w:szCs w:val="20"/>
          <w:lang w:val="es-CL"/>
        </w:rPr>
        <w:t xml:space="preserve">diente, el 30 de junio de 1998 </w:t>
      </w:r>
      <w:r w:rsidRPr="00476437">
        <w:rPr>
          <w:rFonts w:ascii="Cambria" w:hAnsi="Cambria"/>
          <w:color w:val="000000" w:themeColor="text1"/>
          <w:sz w:val="20"/>
          <w:szCs w:val="20"/>
          <w:lang w:val="es-CL"/>
        </w:rPr>
        <w:t>la presunta víctima fue nombrada como Fiscal Adjunto Provincial Provisi</w:t>
      </w:r>
      <w:r w:rsidR="00CC0425">
        <w:rPr>
          <w:rFonts w:ascii="Cambria" w:hAnsi="Cambria"/>
          <w:color w:val="000000" w:themeColor="text1"/>
          <w:sz w:val="20"/>
          <w:szCs w:val="20"/>
          <w:lang w:val="es-CL"/>
        </w:rPr>
        <w:t xml:space="preserve">onal de la Fiscalía Provincial </w:t>
      </w:r>
      <w:r w:rsidRPr="00476437">
        <w:rPr>
          <w:rFonts w:ascii="Cambria" w:hAnsi="Cambria"/>
          <w:color w:val="000000" w:themeColor="text1"/>
          <w:sz w:val="20"/>
          <w:szCs w:val="20"/>
          <w:lang w:val="es-CL"/>
        </w:rPr>
        <w:t>Mixta de la Mar – Ayacucho, por medio de Resolución de la Comisión E</w:t>
      </w:r>
      <w:r w:rsidR="00CC0425">
        <w:rPr>
          <w:rFonts w:ascii="Cambria" w:hAnsi="Cambria"/>
          <w:color w:val="000000" w:themeColor="text1"/>
          <w:sz w:val="20"/>
          <w:szCs w:val="20"/>
          <w:lang w:val="es-CL"/>
        </w:rPr>
        <w:t>jecutiva del Ministerio Público</w:t>
      </w:r>
      <w:r w:rsidRPr="00476437">
        <w:rPr>
          <w:rFonts w:ascii="Cambria" w:hAnsi="Cambria"/>
          <w:color w:val="000000" w:themeColor="text1"/>
          <w:sz w:val="20"/>
          <w:szCs w:val="20"/>
          <w:lang w:val="es-CL"/>
        </w:rPr>
        <w:t xml:space="preserve"> No. 464-1998-MP-FN-CEMP. En la resolución se indicó que “se encuentra vacante la plaza de Fiscal Adjunto Provincial de la Fiscalía Provincial Mixta de La Mar, Distrito Judicial de Ayacucho” y “Que, habiéndose presentado como postulante el Doctor Julio Casa Nina</w:t>
      </w:r>
      <w:r w:rsidR="00CF4D61">
        <w:rPr>
          <w:rFonts w:ascii="Cambria" w:hAnsi="Cambria"/>
          <w:color w:val="000000" w:themeColor="text1"/>
          <w:sz w:val="20"/>
          <w:szCs w:val="20"/>
          <w:lang w:val="es-CL"/>
        </w:rPr>
        <w:t xml:space="preserve"> (</w:t>
      </w:r>
      <w:r w:rsidRPr="00476437">
        <w:rPr>
          <w:rFonts w:ascii="Cambria" w:hAnsi="Cambria"/>
          <w:color w:val="000000" w:themeColor="text1"/>
          <w:sz w:val="20"/>
          <w:szCs w:val="20"/>
          <w:lang w:val="es-CL"/>
        </w:rPr>
        <w:t>…</w:t>
      </w:r>
      <w:r w:rsidR="00CF4D61">
        <w:rPr>
          <w:rFonts w:ascii="Cambria" w:hAnsi="Cambria"/>
          <w:color w:val="000000" w:themeColor="text1"/>
          <w:sz w:val="20"/>
          <w:szCs w:val="20"/>
          <w:lang w:val="es-CL"/>
        </w:rPr>
        <w:t>)</w:t>
      </w:r>
      <w:r w:rsidRPr="00476437">
        <w:rPr>
          <w:rFonts w:ascii="Cambria" w:hAnsi="Cambria"/>
          <w:color w:val="000000" w:themeColor="text1"/>
          <w:sz w:val="20"/>
          <w:szCs w:val="20"/>
          <w:lang w:val="es-CL"/>
        </w:rPr>
        <w:t xml:space="preserve"> “SE RESUELVE: ARTICULO PRIMERO: Nombrar al Doctor Julio Casa Nina como Fiscal Adjunto Provincial Provisional de la Fiscalía Provincial Mixta de La Mar, Distrito Judicial de Ayacucho”</w:t>
      </w:r>
      <w:r w:rsidRPr="00476437">
        <w:rPr>
          <w:rFonts w:ascii="Cambria" w:hAnsi="Cambria"/>
          <w:color w:val="000000" w:themeColor="text1"/>
          <w:sz w:val="20"/>
          <w:szCs w:val="20"/>
          <w:vertAlign w:val="superscript"/>
          <w:lang w:val="es-CL"/>
        </w:rPr>
        <w:footnoteReference w:id="4"/>
      </w:r>
      <w:r w:rsidRPr="00476437">
        <w:rPr>
          <w:rFonts w:ascii="Cambria" w:hAnsi="Cambria"/>
          <w:color w:val="000000" w:themeColor="text1"/>
          <w:sz w:val="20"/>
          <w:szCs w:val="20"/>
          <w:lang w:val="es-CL"/>
        </w:rPr>
        <w:t xml:space="preserve">. </w:t>
      </w:r>
    </w:p>
    <w:p w14:paraId="1F644F55"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664436AF" w14:textId="77777777" w:rsid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CL"/>
        </w:rPr>
      </w:pPr>
      <w:r w:rsidRPr="00476437">
        <w:rPr>
          <w:rFonts w:ascii="Cambria" w:hAnsi="Cambria"/>
          <w:color w:val="000000" w:themeColor="text1"/>
          <w:sz w:val="20"/>
          <w:szCs w:val="20"/>
          <w:lang w:val="es-VE"/>
        </w:rPr>
        <w:t xml:space="preserve">El 8 de abril de 2002 la Fiscal de la Nación </w:t>
      </w:r>
      <w:r w:rsidRPr="00476437">
        <w:rPr>
          <w:rFonts w:ascii="Cambria" w:hAnsi="Cambria"/>
          <w:color w:val="000000" w:themeColor="text1"/>
          <w:sz w:val="20"/>
          <w:szCs w:val="20"/>
          <w:lang w:val="es-CL"/>
        </w:rPr>
        <w:t xml:space="preserve"> nombró a la parte peticionaria como Fiscal Adjunto Provincial Provisional del Distrito Judicial de Ayacucho en el Despacho de la Segunda Fiscalía Provincial Penal de Huamanga, por medio de la Resolución 565-2002-MP-FN, del 08 de abril de 2002. En la resolución se indicó “Que, por necesidad de servicio</w:t>
      </w:r>
      <w:r w:rsidR="00CF4D61">
        <w:rPr>
          <w:rFonts w:ascii="Cambria" w:hAnsi="Cambria"/>
          <w:color w:val="000000" w:themeColor="text1"/>
          <w:sz w:val="20"/>
          <w:szCs w:val="20"/>
          <w:lang w:val="es-CL"/>
        </w:rPr>
        <w:t xml:space="preserve"> (</w:t>
      </w:r>
      <w:r w:rsidRPr="00476437">
        <w:rPr>
          <w:rFonts w:ascii="Cambria" w:hAnsi="Cambria"/>
          <w:color w:val="000000" w:themeColor="text1"/>
          <w:sz w:val="20"/>
          <w:szCs w:val="20"/>
          <w:lang w:val="es-CL"/>
        </w:rPr>
        <w:t>…</w:t>
      </w:r>
      <w:r w:rsidR="00CF4D61">
        <w:rPr>
          <w:rFonts w:ascii="Cambria" w:hAnsi="Cambria"/>
          <w:color w:val="000000" w:themeColor="text1"/>
          <w:sz w:val="20"/>
          <w:szCs w:val="20"/>
          <w:lang w:val="es-CL"/>
        </w:rPr>
        <w:t xml:space="preserve">) </w:t>
      </w:r>
      <w:r w:rsidRPr="00476437">
        <w:rPr>
          <w:rFonts w:ascii="Cambria" w:hAnsi="Cambria"/>
          <w:color w:val="000000" w:themeColor="text1"/>
          <w:sz w:val="20"/>
          <w:szCs w:val="20"/>
          <w:lang w:val="es-CL"/>
        </w:rPr>
        <w:t>SE RESUELVE: ARTICULO SEGUNDO: Nombrar al Doctor Julio Casa Nina, como Fiscal Adjunto  Provincial Provisional del Distrito Judicial de Ayacucho</w:t>
      </w:r>
      <w:r w:rsidR="00CF4D61">
        <w:rPr>
          <w:rFonts w:ascii="Cambria" w:hAnsi="Cambria"/>
          <w:color w:val="000000" w:themeColor="text1"/>
          <w:sz w:val="20"/>
          <w:szCs w:val="20"/>
          <w:lang w:val="es-CL"/>
        </w:rPr>
        <w:t xml:space="preserve"> (…)</w:t>
      </w:r>
      <w:r w:rsidRPr="00476437">
        <w:rPr>
          <w:rFonts w:ascii="Cambria" w:hAnsi="Cambria"/>
          <w:color w:val="000000" w:themeColor="text1"/>
          <w:sz w:val="20"/>
          <w:szCs w:val="20"/>
          <w:vertAlign w:val="superscript"/>
          <w:lang w:val="es-CL"/>
        </w:rPr>
        <w:footnoteReference w:id="5"/>
      </w:r>
      <w:r w:rsidRPr="00476437">
        <w:rPr>
          <w:rFonts w:ascii="Cambria" w:hAnsi="Cambria"/>
          <w:color w:val="000000" w:themeColor="text1"/>
          <w:sz w:val="20"/>
          <w:szCs w:val="20"/>
          <w:lang w:val="es-CL"/>
        </w:rPr>
        <w:t>.</w:t>
      </w:r>
    </w:p>
    <w:p w14:paraId="61F2CA5D" w14:textId="77777777" w:rsidR="00832D51" w:rsidRDefault="00832D51" w:rsidP="00FE05A0">
      <w:pPr>
        <w:pStyle w:val="ListParagraph"/>
        <w:rPr>
          <w:color w:val="000000" w:themeColor="text1"/>
          <w:sz w:val="20"/>
          <w:szCs w:val="20"/>
          <w:lang w:val="es-CL"/>
        </w:rPr>
      </w:pPr>
    </w:p>
    <w:p w14:paraId="3A4A361D" w14:textId="77777777" w:rsidR="00832D51" w:rsidRDefault="00832D51"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CL"/>
        </w:rPr>
      </w:pPr>
      <w:r>
        <w:rPr>
          <w:rFonts w:ascii="Cambria" w:hAnsi="Cambria"/>
          <w:color w:val="000000" w:themeColor="text1"/>
          <w:sz w:val="20"/>
          <w:szCs w:val="20"/>
          <w:lang w:val="es-CL"/>
        </w:rPr>
        <w:t xml:space="preserve">La CIDH </w:t>
      </w:r>
      <w:r w:rsidR="00BF57F8">
        <w:rPr>
          <w:rFonts w:ascii="Cambria" w:hAnsi="Cambria"/>
          <w:color w:val="000000" w:themeColor="text1"/>
          <w:sz w:val="20"/>
          <w:szCs w:val="20"/>
          <w:lang w:val="es-CL"/>
        </w:rPr>
        <w:t>recuerda</w:t>
      </w:r>
      <w:r>
        <w:rPr>
          <w:rFonts w:ascii="Cambria" w:hAnsi="Cambria"/>
          <w:color w:val="000000" w:themeColor="text1"/>
          <w:sz w:val="20"/>
          <w:szCs w:val="20"/>
          <w:lang w:val="es-CL"/>
        </w:rPr>
        <w:t xml:space="preserve"> que en su Segundo Informe sobre la Situación de los Derechos Humanos en el Perú</w:t>
      </w:r>
      <w:r w:rsidR="00BF57F8">
        <w:rPr>
          <w:rFonts w:ascii="Cambria" w:hAnsi="Cambria"/>
          <w:color w:val="000000" w:themeColor="text1"/>
          <w:sz w:val="20"/>
          <w:szCs w:val="20"/>
          <w:lang w:val="es-CL"/>
        </w:rPr>
        <w:t xml:space="preserve"> del 2000</w:t>
      </w:r>
      <w:r>
        <w:rPr>
          <w:rFonts w:ascii="Cambria" w:hAnsi="Cambria"/>
          <w:color w:val="000000" w:themeColor="text1"/>
          <w:sz w:val="20"/>
          <w:szCs w:val="20"/>
          <w:lang w:val="es-CL"/>
        </w:rPr>
        <w:t>, hizo notar que</w:t>
      </w:r>
      <w:r w:rsidR="00141466">
        <w:rPr>
          <w:rFonts w:ascii="Cambria" w:hAnsi="Cambria"/>
          <w:color w:val="000000" w:themeColor="text1"/>
          <w:sz w:val="20"/>
          <w:szCs w:val="20"/>
          <w:lang w:val="es-CL"/>
        </w:rPr>
        <w:t>, para ese momento,</w:t>
      </w:r>
      <w:r>
        <w:rPr>
          <w:rFonts w:ascii="Cambria" w:hAnsi="Cambria"/>
          <w:color w:val="000000" w:themeColor="text1"/>
          <w:sz w:val="20"/>
          <w:szCs w:val="20"/>
          <w:lang w:val="es-CL"/>
        </w:rPr>
        <w:t xml:space="preserve"> </w:t>
      </w:r>
      <w:r w:rsidR="00BF57F8">
        <w:rPr>
          <w:rFonts w:ascii="Cambria" w:hAnsi="Cambria"/>
          <w:color w:val="000000" w:themeColor="text1"/>
          <w:sz w:val="20"/>
          <w:szCs w:val="20"/>
          <w:lang w:val="es-CL"/>
        </w:rPr>
        <w:t xml:space="preserve">“más del 80% de los fiscales del Perú son </w:t>
      </w:r>
      <w:r w:rsidR="0058724F">
        <w:rPr>
          <w:rFonts w:ascii="Cambria" w:hAnsi="Cambria"/>
          <w:color w:val="000000" w:themeColor="text1"/>
          <w:sz w:val="20"/>
          <w:szCs w:val="20"/>
          <w:lang w:val="es-CL"/>
        </w:rPr>
        <w:t>‘</w:t>
      </w:r>
      <w:r w:rsidR="00BF57F8">
        <w:rPr>
          <w:rFonts w:ascii="Cambria" w:hAnsi="Cambria"/>
          <w:color w:val="000000" w:themeColor="text1"/>
          <w:sz w:val="20"/>
          <w:szCs w:val="20"/>
          <w:lang w:val="es-CL"/>
        </w:rPr>
        <w:t>provisionales</w:t>
      </w:r>
      <w:r w:rsidR="0058724F">
        <w:rPr>
          <w:rFonts w:ascii="Cambria" w:hAnsi="Cambria"/>
          <w:color w:val="000000" w:themeColor="text1"/>
          <w:sz w:val="20"/>
          <w:szCs w:val="20"/>
          <w:lang w:val="es-CL"/>
        </w:rPr>
        <w:t>’</w:t>
      </w:r>
      <w:r w:rsidR="00BF57F8">
        <w:rPr>
          <w:rFonts w:ascii="Cambria" w:hAnsi="Cambria"/>
          <w:color w:val="000000" w:themeColor="text1"/>
          <w:sz w:val="20"/>
          <w:szCs w:val="20"/>
          <w:lang w:val="es-CL"/>
        </w:rPr>
        <w:t>”</w:t>
      </w:r>
      <w:r w:rsidR="00BF57F8">
        <w:rPr>
          <w:rStyle w:val="FootnoteReference"/>
          <w:rFonts w:ascii="Cambria" w:hAnsi="Cambria"/>
          <w:color w:val="000000" w:themeColor="text1"/>
          <w:sz w:val="20"/>
          <w:szCs w:val="20"/>
          <w:lang w:val="es-CL"/>
        </w:rPr>
        <w:footnoteReference w:id="6"/>
      </w:r>
      <w:r w:rsidR="00BF57F8">
        <w:rPr>
          <w:rFonts w:ascii="Cambria" w:hAnsi="Cambria"/>
          <w:color w:val="000000" w:themeColor="text1"/>
          <w:sz w:val="20"/>
          <w:szCs w:val="20"/>
          <w:lang w:val="es-CL"/>
        </w:rPr>
        <w:t>.</w:t>
      </w:r>
    </w:p>
    <w:p w14:paraId="4C0AD8B1" w14:textId="77777777" w:rsidR="00BF57F8" w:rsidRPr="00476437" w:rsidRDefault="00BF57F8" w:rsidP="005E1EA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CL"/>
        </w:rPr>
      </w:pPr>
    </w:p>
    <w:p w14:paraId="5727D631" w14:textId="77777777" w:rsidR="00476437" w:rsidRPr="000C6DB3" w:rsidRDefault="00476437" w:rsidP="00FE05A0">
      <w:pPr>
        <w:pStyle w:val="Heading2"/>
        <w:numPr>
          <w:ilvl w:val="0"/>
          <w:numId w:val="58"/>
        </w:numPr>
        <w:spacing w:before="0" w:after="0"/>
        <w:ind w:hanging="90"/>
        <w:rPr>
          <w:rFonts w:asciiTheme="majorHAnsi" w:hAnsiTheme="majorHAnsi"/>
          <w:bCs w:val="0"/>
          <w:i w:val="0"/>
          <w:iCs w:val="0"/>
          <w:sz w:val="20"/>
          <w:szCs w:val="20"/>
          <w:lang w:val="es-ES_tradnl"/>
        </w:rPr>
      </w:pPr>
      <w:bookmarkStart w:id="7" w:name="_Toc521483533"/>
      <w:r w:rsidRPr="000C6DB3">
        <w:rPr>
          <w:rFonts w:asciiTheme="majorHAnsi" w:hAnsiTheme="majorHAnsi"/>
          <w:i w:val="0"/>
          <w:sz w:val="20"/>
          <w:szCs w:val="20"/>
          <w:lang w:val="es-ES_tradnl"/>
        </w:rPr>
        <w:t>Sobre la terminación del nombramiento de la presunta víctima</w:t>
      </w:r>
      <w:bookmarkEnd w:id="7"/>
      <w:r w:rsidRPr="000C6DB3">
        <w:rPr>
          <w:rFonts w:asciiTheme="majorHAnsi" w:hAnsiTheme="majorHAnsi"/>
          <w:i w:val="0"/>
          <w:sz w:val="20"/>
          <w:szCs w:val="20"/>
          <w:lang w:val="es-ES_tradnl"/>
        </w:rPr>
        <w:t xml:space="preserve"> </w:t>
      </w:r>
    </w:p>
    <w:p w14:paraId="2E50F21D"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726513FB" w14:textId="77777777" w:rsidR="00476437" w:rsidRPr="002D2E5E"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El 21 de enero de 2003 la Fiscal de la Nación dio por terminado el nombramiento de la presunta víctima mediante Resolución No. 087-2003-MP-FN. En dicha resolución indicó que “</w:t>
      </w:r>
      <w:r w:rsidR="008C48C7">
        <w:rPr>
          <w:rFonts w:ascii="Cambria" w:hAnsi="Cambria"/>
          <w:color w:val="000000" w:themeColor="text1"/>
          <w:sz w:val="20"/>
          <w:szCs w:val="20"/>
          <w:lang w:val="es-VE"/>
        </w:rPr>
        <w:t>e</w:t>
      </w:r>
      <w:r w:rsidRPr="00476437">
        <w:rPr>
          <w:rFonts w:ascii="Cambria" w:hAnsi="Cambria"/>
          <w:color w:val="000000" w:themeColor="text1"/>
          <w:sz w:val="20"/>
          <w:szCs w:val="20"/>
          <w:lang w:val="es-VE"/>
        </w:rPr>
        <w:t>l nombramiento de los Fiscales en calidad de provisionales es de carácter temporal, sujeto a la</w:t>
      </w:r>
      <w:r w:rsidR="005F034C">
        <w:rPr>
          <w:rFonts w:ascii="Cambria" w:hAnsi="Cambria"/>
          <w:color w:val="000000" w:themeColor="text1"/>
          <w:sz w:val="20"/>
          <w:szCs w:val="20"/>
          <w:lang w:val="es-VE"/>
        </w:rPr>
        <w:t>s necesidades del servicio (…)</w:t>
      </w:r>
      <w:r w:rsidR="00B650D0">
        <w:rPr>
          <w:rFonts w:ascii="Cambria" w:hAnsi="Cambria"/>
          <w:color w:val="000000" w:themeColor="text1"/>
          <w:sz w:val="20"/>
          <w:szCs w:val="20"/>
          <w:lang w:val="es-VE"/>
        </w:rPr>
        <w:t>”</w:t>
      </w:r>
      <w:r w:rsidR="005F034C">
        <w:rPr>
          <w:rFonts w:ascii="Cambria" w:hAnsi="Cambria"/>
          <w:color w:val="000000" w:themeColor="text1"/>
          <w:sz w:val="20"/>
          <w:szCs w:val="20"/>
          <w:lang w:val="es-VE"/>
        </w:rPr>
        <w:t xml:space="preserve"> </w:t>
      </w:r>
      <w:r w:rsidRPr="00476437">
        <w:rPr>
          <w:rFonts w:ascii="Cambria" w:hAnsi="Cambria"/>
          <w:color w:val="000000" w:themeColor="text1"/>
          <w:sz w:val="20"/>
          <w:szCs w:val="20"/>
          <w:lang w:val="es-VE"/>
        </w:rPr>
        <w:t>y resolvió “Dar por concluido el nombramiento del Doctor Julio Casa Nina como Fiscal Adjunto Provincial Provisional de la Segunda Fiscalía Provincial Penal de Huamanga, Distrito Judicial de Ayacucho (…) sin perjuicio de las acciones legales que pudiesen ser pertinentes por la queja y la denuncia que se encuentran en tr</w:t>
      </w:r>
      <w:r w:rsidR="00617FC5">
        <w:rPr>
          <w:rFonts w:ascii="Cambria" w:hAnsi="Cambria"/>
          <w:color w:val="000000" w:themeColor="text1"/>
          <w:sz w:val="20"/>
          <w:szCs w:val="20"/>
          <w:lang w:val="es-VE"/>
        </w:rPr>
        <w:t>á</w:t>
      </w:r>
      <w:r w:rsidRPr="00476437">
        <w:rPr>
          <w:rFonts w:ascii="Cambria" w:hAnsi="Cambria"/>
          <w:color w:val="000000" w:themeColor="text1"/>
          <w:sz w:val="20"/>
          <w:szCs w:val="20"/>
          <w:lang w:val="es-VE"/>
        </w:rPr>
        <w:t>mite</w:t>
      </w:r>
      <w:r w:rsidRPr="00476437">
        <w:rPr>
          <w:rFonts w:ascii="Cambria" w:hAnsi="Cambria"/>
          <w:color w:val="000000" w:themeColor="text1"/>
          <w:sz w:val="20"/>
          <w:szCs w:val="20"/>
          <w:lang w:val="es-CL"/>
        </w:rPr>
        <w:t>”</w:t>
      </w:r>
      <w:r w:rsidRPr="00476437">
        <w:rPr>
          <w:rFonts w:ascii="Cambria" w:hAnsi="Cambria"/>
          <w:color w:val="000000" w:themeColor="text1"/>
          <w:sz w:val="20"/>
          <w:szCs w:val="20"/>
          <w:vertAlign w:val="superscript"/>
          <w:lang w:val="es-CL"/>
        </w:rPr>
        <w:footnoteReference w:id="7"/>
      </w:r>
      <w:r w:rsidRPr="00476437">
        <w:rPr>
          <w:rFonts w:ascii="Cambria" w:hAnsi="Cambria"/>
          <w:color w:val="000000" w:themeColor="text1"/>
          <w:sz w:val="20"/>
          <w:szCs w:val="20"/>
          <w:lang w:val="es-CL"/>
        </w:rPr>
        <w:t xml:space="preserve">. </w:t>
      </w:r>
    </w:p>
    <w:p w14:paraId="2ABC6F08" w14:textId="77777777" w:rsidR="002D2E5E" w:rsidRPr="00476437" w:rsidRDefault="002D2E5E" w:rsidP="002D2E5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19FC60A6" w14:textId="77777777" w:rsidR="00476437" w:rsidRDefault="00476437" w:rsidP="00FE05A0">
      <w:pPr>
        <w:pStyle w:val="Heading2"/>
        <w:numPr>
          <w:ilvl w:val="0"/>
          <w:numId w:val="58"/>
        </w:numPr>
        <w:spacing w:before="0" w:after="0"/>
        <w:ind w:hanging="90"/>
        <w:rPr>
          <w:rFonts w:asciiTheme="majorHAnsi" w:hAnsiTheme="majorHAnsi"/>
          <w:i w:val="0"/>
          <w:sz w:val="20"/>
          <w:szCs w:val="20"/>
          <w:lang w:val="es-ES_tradnl"/>
        </w:rPr>
      </w:pPr>
      <w:r w:rsidRPr="000C6DB3">
        <w:rPr>
          <w:rFonts w:asciiTheme="majorHAnsi" w:hAnsiTheme="majorHAnsi"/>
          <w:i w:val="0"/>
          <w:sz w:val="20"/>
          <w:szCs w:val="20"/>
          <w:lang w:val="es-ES_tradnl"/>
        </w:rPr>
        <w:t xml:space="preserve"> </w:t>
      </w:r>
      <w:bookmarkStart w:id="8" w:name="_Toc521483534"/>
      <w:r w:rsidRPr="000C6DB3">
        <w:rPr>
          <w:rFonts w:asciiTheme="majorHAnsi" w:hAnsiTheme="majorHAnsi"/>
          <w:i w:val="0"/>
          <w:sz w:val="20"/>
          <w:szCs w:val="20"/>
          <w:lang w:val="es-ES_tradnl"/>
        </w:rPr>
        <w:t>Sobre los mecanismos de impugnación presentados</w:t>
      </w:r>
      <w:bookmarkEnd w:id="8"/>
      <w:r w:rsidRPr="000C6DB3">
        <w:rPr>
          <w:rFonts w:asciiTheme="majorHAnsi" w:hAnsiTheme="majorHAnsi"/>
          <w:i w:val="0"/>
          <w:sz w:val="20"/>
          <w:szCs w:val="20"/>
          <w:lang w:val="es-ES_tradnl"/>
        </w:rPr>
        <w:t xml:space="preserve"> </w:t>
      </w:r>
    </w:p>
    <w:p w14:paraId="02147283" w14:textId="77777777" w:rsidR="002D2E5E" w:rsidRPr="002D2E5E" w:rsidRDefault="002D2E5E" w:rsidP="002D2E5E">
      <w:pPr>
        <w:rPr>
          <w:lang w:val="es-ES_tradnl"/>
        </w:rPr>
      </w:pPr>
    </w:p>
    <w:p w14:paraId="6579B386" w14:textId="77777777" w:rsidR="00476437" w:rsidRPr="000C6DB3" w:rsidRDefault="00D0783E" w:rsidP="00FE05A0">
      <w:pPr>
        <w:pStyle w:val="Heading3"/>
        <w:numPr>
          <w:ilvl w:val="0"/>
          <w:numId w:val="59"/>
        </w:numPr>
        <w:spacing w:before="0" w:after="0"/>
        <w:ind w:hanging="90"/>
        <w:rPr>
          <w:rFonts w:asciiTheme="majorHAnsi" w:hAnsiTheme="majorHAnsi"/>
          <w:sz w:val="20"/>
          <w:szCs w:val="20"/>
          <w:lang w:val="es-VE"/>
        </w:rPr>
      </w:pPr>
      <w:r>
        <w:rPr>
          <w:rFonts w:asciiTheme="majorHAnsi" w:hAnsiTheme="majorHAnsi"/>
          <w:sz w:val="20"/>
          <w:szCs w:val="20"/>
          <w:lang w:val="es-VE"/>
        </w:rPr>
        <w:t xml:space="preserve"> </w:t>
      </w:r>
      <w:bookmarkStart w:id="9" w:name="_Toc521483535"/>
      <w:r w:rsidR="00476437" w:rsidRPr="000C6DB3">
        <w:rPr>
          <w:rFonts w:asciiTheme="majorHAnsi" w:hAnsiTheme="majorHAnsi"/>
          <w:sz w:val="20"/>
          <w:szCs w:val="20"/>
          <w:lang w:val="es-VE"/>
        </w:rPr>
        <w:t>Recurso de reconsideración</w:t>
      </w:r>
      <w:bookmarkEnd w:id="9"/>
    </w:p>
    <w:p w14:paraId="08E914C5"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000000" w:themeColor="text1"/>
          <w:sz w:val="20"/>
          <w:szCs w:val="20"/>
          <w:lang w:val="es-VE"/>
        </w:rPr>
      </w:pPr>
    </w:p>
    <w:p w14:paraId="70CE820F" w14:textId="26DA676E" w:rsidR="00870DC4"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CL"/>
        </w:rPr>
        <w:t>Según consta en el expediente, la presunta víctima presentó un recurso de reconsideración ante la Fiscal de la Nación, con el fin de que se “deje sin efecto la decisión adoptada y se ordene que el recurrente sea repuesto en el cargo de fiscal provincial adjunto que venía ejerciendo”. En el recurso argument</w:t>
      </w:r>
      <w:r w:rsidR="00CC0425">
        <w:rPr>
          <w:rFonts w:ascii="Cambria" w:hAnsi="Cambria"/>
          <w:color w:val="000000" w:themeColor="text1"/>
          <w:sz w:val="20"/>
          <w:szCs w:val="20"/>
          <w:lang w:val="es-CL"/>
        </w:rPr>
        <w:t>ó que “l</w:t>
      </w:r>
      <w:r w:rsidRPr="00CC0425">
        <w:rPr>
          <w:rFonts w:ascii="Cambria" w:hAnsi="Cambria"/>
          <w:color w:val="000000" w:themeColor="text1"/>
          <w:sz w:val="20"/>
          <w:szCs w:val="20"/>
          <w:lang w:val="es-CL"/>
        </w:rPr>
        <w:t>os cargos que se me han imputado se han desvanecido y existiendo pronunciamiento en sede jurisdiccional, no motiva se adopte la separación del cargo y éstas pruebas acreditan por el contrario mi inocencia, y corresponde a su Autoridad recon</w:t>
      </w:r>
      <w:r w:rsidR="005F034C" w:rsidRPr="00CC0425">
        <w:rPr>
          <w:rFonts w:ascii="Cambria" w:hAnsi="Cambria"/>
          <w:color w:val="000000" w:themeColor="text1"/>
          <w:sz w:val="20"/>
          <w:szCs w:val="20"/>
          <w:lang w:val="es-CL"/>
        </w:rPr>
        <w:t>siderar el acto administrativo</w:t>
      </w:r>
      <w:r w:rsidR="00CC0425">
        <w:rPr>
          <w:rFonts w:ascii="Cambria" w:hAnsi="Cambria"/>
          <w:color w:val="000000" w:themeColor="text1"/>
          <w:sz w:val="20"/>
          <w:szCs w:val="20"/>
          <w:lang w:val="es-CL"/>
        </w:rPr>
        <w:t>”</w:t>
      </w:r>
      <w:r w:rsidRPr="00476437">
        <w:rPr>
          <w:rFonts w:ascii="Cambria" w:hAnsi="Cambria"/>
          <w:color w:val="000000" w:themeColor="text1"/>
          <w:sz w:val="20"/>
          <w:szCs w:val="20"/>
          <w:vertAlign w:val="superscript"/>
          <w:lang w:val="es-CL"/>
        </w:rPr>
        <w:footnoteReference w:id="8"/>
      </w:r>
      <w:r w:rsidRPr="00CC0425">
        <w:rPr>
          <w:rFonts w:ascii="Cambria" w:hAnsi="Cambria"/>
          <w:color w:val="000000" w:themeColor="text1"/>
          <w:sz w:val="20"/>
          <w:szCs w:val="20"/>
          <w:lang w:val="es-CL"/>
        </w:rPr>
        <w:t xml:space="preserve">. </w:t>
      </w:r>
      <w:r w:rsidR="003A319B">
        <w:rPr>
          <w:rFonts w:ascii="Cambria" w:hAnsi="Cambria"/>
          <w:color w:val="000000" w:themeColor="text1"/>
          <w:sz w:val="20"/>
          <w:szCs w:val="20"/>
          <w:lang w:val="es-CL"/>
        </w:rPr>
        <w:t>La Comisión toma nota</w:t>
      </w:r>
      <w:r w:rsidR="003F49D7">
        <w:rPr>
          <w:rFonts w:ascii="Cambria" w:hAnsi="Cambria"/>
          <w:color w:val="000000" w:themeColor="text1"/>
          <w:sz w:val="20"/>
          <w:szCs w:val="20"/>
          <w:lang w:val="es-CL"/>
        </w:rPr>
        <w:t xml:space="preserve"> </w:t>
      </w:r>
      <w:r w:rsidR="00870DC4" w:rsidRPr="00476437">
        <w:rPr>
          <w:rFonts w:ascii="Cambria" w:hAnsi="Cambria"/>
          <w:color w:val="000000" w:themeColor="text1"/>
          <w:sz w:val="20"/>
          <w:szCs w:val="20"/>
          <w:lang w:val="es-CL"/>
        </w:rPr>
        <w:t>que según informó la parte peticionaria,</w:t>
      </w:r>
      <w:r w:rsidR="00870DC4">
        <w:rPr>
          <w:rFonts w:ascii="Cambria" w:hAnsi="Cambria"/>
          <w:color w:val="000000" w:themeColor="text1"/>
          <w:sz w:val="20"/>
          <w:szCs w:val="20"/>
          <w:lang w:val="es-CL"/>
        </w:rPr>
        <w:t xml:space="preserve"> y el Estado no controvirtió,</w:t>
      </w:r>
      <w:r w:rsidR="00870DC4" w:rsidRPr="00476437">
        <w:rPr>
          <w:rFonts w:ascii="Cambria" w:hAnsi="Cambria"/>
          <w:color w:val="000000" w:themeColor="text1"/>
          <w:sz w:val="20"/>
          <w:szCs w:val="20"/>
          <w:lang w:val="es-CL"/>
        </w:rPr>
        <w:t xml:space="preserve"> con posterioridad fue absuelto de dichas quejas.  </w:t>
      </w:r>
    </w:p>
    <w:p w14:paraId="3D607801"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38E89043"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CL"/>
        </w:rPr>
        <w:t xml:space="preserve">El 14 de febrero 2003 la Fiscal de la Nación declaró infundado el </w:t>
      </w:r>
      <w:r w:rsidR="008D48C7">
        <w:rPr>
          <w:rFonts w:ascii="Cambria" w:hAnsi="Cambria"/>
          <w:color w:val="000000" w:themeColor="text1"/>
          <w:sz w:val="20"/>
          <w:szCs w:val="20"/>
          <w:lang w:val="es-CL"/>
        </w:rPr>
        <w:t>r</w:t>
      </w:r>
      <w:r w:rsidRPr="00476437">
        <w:rPr>
          <w:rFonts w:ascii="Cambria" w:hAnsi="Cambria"/>
          <w:color w:val="000000" w:themeColor="text1"/>
          <w:sz w:val="20"/>
          <w:szCs w:val="20"/>
          <w:lang w:val="es-CL"/>
        </w:rPr>
        <w:t xml:space="preserve">ecurso de </w:t>
      </w:r>
      <w:r w:rsidR="008D48C7">
        <w:rPr>
          <w:rFonts w:ascii="Cambria" w:hAnsi="Cambria"/>
          <w:color w:val="000000" w:themeColor="text1"/>
          <w:sz w:val="20"/>
          <w:szCs w:val="20"/>
          <w:lang w:val="es-CL"/>
        </w:rPr>
        <w:t>r</w:t>
      </w:r>
      <w:r w:rsidRPr="00476437">
        <w:rPr>
          <w:rFonts w:ascii="Cambria" w:hAnsi="Cambria"/>
          <w:color w:val="000000" w:themeColor="text1"/>
          <w:sz w:val="20"/>
          <w:szCs w:val="20"/>
          <w:lang w:val="es-CL"/>
        </w:rPr>
        <w:t>econsideración presentado por la presenta víctima. Dentro de sus consideraciones estimó:</w:t>
      </w:r>
    </w:p>
    <w:p w14:paraId="4CF32245" w14:textId="77777777" w:rsidR="00476437" w:rsidRPr="00476437" w:rsidRDefault="00476437" w:rsidP="00FE05A0">
      <w:pPr>
        <w:ind w:left="720"/>
        <w:rPr>
          <w:rFonts w:ascii="Cambria" w:eastAsia="Cambria" w:hAnsi="Cambria" w:cs="Cambria"/>
          <w:color w:val="000000" w:themeColor="text1"/>
          <w:sz w:val="20"/>
          <w:szCs w:val="20"/>
          <w:u w:color="000000"/>
          <w:lang w:val="es-CL" w:eastAsia="es-ES"/>
        </w:rPr>
      </w:pPr>
    </w:p>
    <w:p w14:paraId="2676994B" w14:textId="77777777" w:rsidR="00476437" w:rsidRPr="00476437" w:rsidRDefault="00476437" w:rsidP="00C252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7920"/>
          <w:tab w:val="left" w:pos="8010"/>
          <w:tab w:val="left" w:pos="8460"/>
        </w:tabs>
        <w:ind w:left="630" w:right="900"/>
        <w:jc w:val="both"/>
        <w:rPr>
          <w:rFonts w:ascii="Cambria" w:hAnsi="Cambria"/>
          <w:color w:val="000000" w:themeColor="text1"/>
          <w:sz w:val="20"/>
          <w:szCs w:val="20"/>
          <w:lang w:val="es-VE"/>
        </w:rPr>
      </w:pPr>
      <w:r w:rsidRPr="00476437">
        <w:rPr>
          <w:rFonts w:ascii="Cambria" w:hAnsi="Cambria"/>
          <w:color w:val="000000" w:themeColor="text1"/>
          <w:sz w:val="20"/>
          <w:szCs w:val="20"/>
          <w:lang w:val="es-CL"/>
        </w:rPr>
        <w:t>Que, el  nombramiento de los Fiscales en calidad de provisionales es de carácter temporal y que los argumentos invocados por el recurrente en su escrito de reconsideración no desvirtúan en forma alguna, los fundamentos de la Resolución de la Fiscalía de la Nación No. 087-2003-MP-FN, de fecha 21 de enero de 2003, de conformidad con lo dispuesto en el Artículo 5 de la Ley 27362.</w:t>
      </w:r>
    </w:p>
    <w:p w14:paraId="2EE39F20"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8460"/>
          <w:tab w:val="left" w:pos="8640"/>
        </w:tabs>
        <w:ind w:left="630" w:right="180"/>
        <w:jc w:val="both"/>
        <w:rPr>
          <w:rFonts w:ascii="Cambria" w:hAnsi="Cambria"/>
          <w:color w:val="000000" w:themeColor="text1"/>
          <w:sz w:val="20"/>
          <w:szCs w:val="20"/>
          <w:lang w:val="es-VE"/>
        </w:rPr>
      </w:pPr>
    </w:p>
    <w:p w14:paraId="6D5C5009"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8460"/>
          <w:tab w:val="left" w:pos="8640"/>
        </w:tabs>
        <w:ind w:left="630" w:right="180"/>
        <w:jc w:val="both"/>
        <w:rPr>
          <w:rFonts w:ascii="Cambria" w:hAnsi="Cambria"/>
          <w:color w:val="000000" w:themeColor="text1"/>
          <w:sz w:val="20"/>
          <w:szCs w:val="20"/>
          <w:lang w:val="es-CL"/>
        </w:rPr>
      </w:pPr>
      <w:r w:rsidRPr="00476437">
        <w:rPr>
          <w:rFonts w:ascii="Cambria" w:hAnsi="Cambria"/>
          <w:color w:val="000000" w:themeColor="text1"/>
          <w:sz w:val="20"/>
          <w:szCs w:val="20"/>
          <w:lang w:val="es-CL"/>
        </w:rPr>
        <w:t>Que, a la fecha de expedirse la citada Resolución el recurrente tiene dos quejas en trámite en la Comisión Distrital Descentralizada de Control Interno</w:t>
      </w:r>
      <w:r w:rsidRPr="00476437">
        <w:rPr>
          <w:rFonts w:ascii="Cambria" w:hAnsi="Cambria"/>
          <w:color w:val="000000" w:themeColor="text1"/>
          <w:sz w:val="20"/>
          <w:szCs w:val="20"/>
          <w:vertAlign w:val="superscript"/>
          <w:lang w:val="es-CL"/>
        </w:rPr>
        <w:footnoteReference w:id="9"/>
      </w:r>
      <w:r w:rsidRPr="00476437">
        <w:rPr>
          <w:rFonts w:ascii="Cambria" w:hAnsi="Cambria"/>
          <w:color w:val="000000" w:themeColor="text1"/>
          <w:sz w:val="20"/>
          <w:szCs w:val="20"/>
          <w:lang w:val="es-CL"/>
        </w:rPr>
        <w:t>.</w:t>
      </w:r>
    </w:p>
    <w:p w14:paraId="09775911"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450"/>
        <w:jc w:val="both"/>
        <w:rPr>
          <w:rFonts w:ascii="Cambria" w:hAnsi="Cambria"/>
          <w:color w:val="000000" w:themeColor="text1"/>
          <w:sz w:val="20"/>
          <w:szCs w:val="20"/>
          <w:lang w:val="es-CL"/>
        </w:rPr>
      </w:pPr>
    </w:p>
    <w:p w14:paraId="42A094F4" w14:textId="2745107E" w:rsidR="00C6388C" w:rsidRDefault="00E066F0"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La Comisión toma nota que el artículo 5 de la Ley 27362 establecía que “los magistrados provisionales sólo pueden ejercer labores jurisdiccionales mientras dure la interinidad. Están impedidos de asumir función administrativa o de representación alguna”</w:t>
      </w:r>
      <w:r w:rsidR="003A51B4">
        <w:rPr>
          <w:rStyle w:val="FootnoteReference"/>
          <w:rFonts w:ascii="Cambria" w:hAnsi="Cambria"/>
          <w:color w:val="000000" w:themeColor="text1"/>
          <w:sz w:val="20"/>
          <w:szCs w:val="20"/>
          <w:lang w:val="es-VE"/>
        </w:rPr>
        <w:footnoteReference w:id="10"/>
      </w:r>
      <w:r>
        <w:rPr>
          <w:rFonts w:ascii="Cambria" w:hAnsi="Cambria"/>
          <w:color w:val="000000" w:themeColor="text1"/>
          <w:sz w:val="20"/>
          <w:szCs w:val="20"/>
          <w:lang w:val="es-VE"/>
        </w:rPr>
        <w:t>.</w:t>
      </w:r>
    </w:p>
    <w:p w14:paraId="257F1BD3" w14:textId="77777777" w:rsidR="00E066F0" w:rsidRPr="00870DC4" w:rsidRDefault="00E066F0" w:rsidP="00250F1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 </w:t>
      </w:r>
    </w:p>
    <w:p w14:paraId="185B368F" w14:textId="77777777" w:rsidR="00476437" w:rsidRPr="00476437" w:rsidRDefault="00476437" w:rsidP="00FE05A0">
      <w:pPr>
        <w:pStyle w:val="Heading3"/>
        <w:numPr>
          <w:ilvl w:val="0"/>
          <w:numId w:val="59"/>
        </w:numPr>
        <w:spacing w:before="0" w:after="0"/>
        <w:ind w:hanging="90"/>
        <w:rPr>
          <w:rFonts w:asciiTheme="majorHAnsi" w:hAnsiTheme="majorHAnsi"/>
          <w:b w:val="0"/>
          <w:bCs w:val="0"/>
          <w:sz w:val="20"/>
          <w:szCs w:val="20"/>
          <w:lang w:val="es-VE"/>
        </w:rPr>
      </w:pPr>
      <w:bookmarkStart w:id="10" w:name="_Toc521483536"/>
      <w:r w:rsidRPr="00476437">
        <w:rPr>
          <w:rFonts w:asciiTheme="majorHAnsi" w:hAnsiTheme="majorHAnsi"/>
          <w:sz w:val="20"/>
          <w:szCs w:val="20"/>
          <w:lang w:val="es-VE"/>
        </w:rPr>
        <w:t>Acción de Amparo</w:t>
      </w:r>
      <w:bookmarkEnd w:id="10"/>
    </w:p>
    <w:p w14:paraId="7E48DBAB"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eastAsia="Cambria" w:hAnsi="Cambria" w:cs="Cambria"/>
          <w:color w:val="000000" w:themeColor="text1"/>
          <w:sz w:val="20"/>
          <w:szCs w:val="20"/>
          <w:u w:color="000000"/>
          <w:lang w:val="es-VE" w:eastAsia="es-ES"/>
        </w:rPr>
      </w:pPr>
    </w:p>
    <w:p w14:paraId="4C203983" w14:textId="23BE9C63" w:rsidR="005F034C" w:rsidRPr="005F034C"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CL"/>
        </w:rPr>
        <w:t xml:space="preserve">Con posterioridad, la presunta víctima presentó </w:t>
      </w:r>
      <w:r w:rsidR="003A319B">
        <w:rPr>
          <w:rFonts w:ascii="Cambria" w:hAnsi="Cambria"/>
          <w:color w:val="000000" w:themeColor="text1"/>
          <w:sz w:val="20"/>
          <w:szCs w:val="20"/>
          <w:lang w:val="es-CL"/>
        </w:rPr>
        <w:t xml:space="preserve">una </w:t>
      </w:r>
      <w:r w:rsidRPr="00476437">
        <w:rPr>
          <w:rFonts w:ascii="Cambria" w:hAnsi="Cambria"/>
          <w:color w:val="000000" w:themeColor="text1"/>
          <w:sz w:val="20"/>
          <w:szCs w:val="20"/>
          <w:lang w:val="es-CL"/>
        </w:rPr>
        <w:t>demanda de Acción de Amparo ante el Primer Juzgado Especializado en lo Civil de Huamanga, Ayacucho, en contra del Ministerio Público,  alegando la vulneración de los derechos al trabajo, al debido proceso y a la defensa</w:t>
      </w:r>
      <w:r w:rsidR="009955F3">
        <w:rPr>
          <w:rFonts w:ascii="Cambria" w:hAnsi="Cambria"/>
          <w:color w:val="000000" w:themeColor="text1"/>
          <w:sz w:val="20"/>
          <w:szCs w:val="20"/>
          <w:lang w:val="es-CL"/>
        </w:rPr>
        <w:t>.</w:t>
      </w:r>
      <w:r w:rsidRPr="00476437">
        <w:rPr>
          <w:rFonts w:ascii="Cambria" w:hAnsi="Cambria"/>
          <w:color w:val="000000" w:themeColor="text1"/>
          <w:sz w:val="20"/>
          <w:szCs w:val="20"/>
          <w:lang w:val="es-CL"/>
        </w:rPr>
        <w:t xml:space="preserve"> La demanda fue subsanada el 16 de diciembre de 2004 tras inadmisión por no precisar “la fecha en que fue afectado su derecho” y  no acredita</w:t>
      </w:r>
      <w:r w:rsidR="005F034C">
        <w:rPr>
          <w:rFonts w:ascii="Cambria" w:hAnsi="Cambria"/>
          <w:color w:val="000000" w:themeColor="text1"/>
          <w:sz w:val="20"/>
          <w:szCs w:val="20"/>
          <w:lang w:val="es-CL"/>
        </w:rPr>
        <w:t>r “haber agotado la v</w:t>
      </w:r>
      <w:r w:rsidR="001F2841">
        <w:rPr>
          <w:rFonts w:ascii="Cambria" w:hAnsi="Cambria"/>
          <w:color w:val="000000" w:themeColor="text1"/>
          <w:sz w:val="20"/>
          <w:szCs w:val="20"/>
          <w:lang w:val="es-CL"/>
        </w:rPr>
        <w:t>ía</w:t>
      </w:r>
      <w:r w:rsidR="005F034C">
        <w:rPr>
          <w:rFonts w:ascii="Cambria" w:hAnsi="Cambria"/>
          <w:color w:val="000000" w:themeColor="text1"/>
          <w:sz w:val="20"/>
          <w:szCs w:val="20"/>
          <w:lang w:val="es-CL"/>
        </w:rPr>
        <w:t xml:space="preserve"> previa</w:t>
      </w:r>
      <w:r w:rsidRPr="00476437">
        <w:rPr>
          <w:rFonts w:ascii="Cambria" w:hAnsi="Cambria"/>
          <w:color w:val="000000" w:themeColor="text1"/>
          <w:sz w:val="20"/>
          <w:szCs w:val="20"/>
          <w:lang w:val="es-VE"/>
        </w:rPr>
        <w:t>”</w:t>
      </w:r>
      <w:r w:rsidRPr="00476437">
        <w:rPr>
          <w:rFonts w:ascii="Cambria" w:hAnsi="Cambria"/>
          <w:color w:val="000000" w:themeColor="text1"/>
          <w:sz w:val="20"/>
          <w:szCs w:val="20"/>
          <w:vertAlign w:val="superscript"/>
          <w:lang w:val="es-CL"/>
        </w:rPr>
        <w:footnoteReference w:id="11"/>
      </w:r>
      <w:r w:rsidRPr="00476437">
        <w:rPr>
          <w:rFonts w:ascii="Cambria" w:hAnsi="Cambria"/>
          <w:color w:val="000000" w:themeColor="text1"/>
          <w:sz w:val="20"/>
          <w:szCs w:val="20"/>
          <w:lang w:val="es-CL"/>
        </w:rPr>
        <w:t xml:space="preserve">.  </w:t>
      </w:r>
      <w:r w:rsidR="005F034C">
        <w:rPr>
          <w:rFonts w:ascii="Cambria" w:hAnsi="Cambria"/>
          <w:color w:val="000000" w:themeColor="text1"/>
          <w:sz w:val="20"/>
          <w:szCs w:val="20"/>
          <w:lang w:val="es-CL"/>
        </w:rPr>
        <w:t>Dentro de sus planteamientos , la presunta víctima indicó que:</w:t>
      </w:r>
    </w:p>
    <w:p w14:paraId="0B4B4350"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61621D0A" w14:textId="77777777" w:rsidR="00476437" w:rsidRDefault="005F034C" w:rsidP="00C252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900"/>
        <w:jc w:val="both"/>
        <w:rPr>
          <w:rFonts w:ascii="Cambria" w:hAnsi="Cambria"/>
          <w:color w:val="000000" w:themeColor="text1"/>
          <w:sz w:val="20"/>
          <w:szCs w:val="20"/>
          <w:lang w:val="es-VE"/>
        </w:rPr>
      </w:pPr>
      <w:r>
        <w:rPr>
          <w:rFonts w:ascii="Cambria" w:hAnsi="Cambria"/>
          <w:color w:val="000000" w:themeColor="text1"/>
          <w:sz w:val="20"/>
          <w:szCs w:val="20"/>
          <w:lang w:val="es-VE"/>
        </w:rPr>
        <w:t>(…</w:t>
      </w:r>
      <w:r w:rsidR="00BD75DA">
        <w:rPr>
          <w:rFonts w:ascii="Cambria" w:hAnsi="Cambria"/>
          <w:color w:val="000000" w:themeColor="text1"/>
          <w:sz w:val="20"/>
          <w:szCs w:val="20"/>
          <w:lang w:val="es-VE"/>
        </w:rPr>
        <w:t>)</w:t>
      </w:r>
      <w:r w:rsidR="00BD75DA" w:rsidRPr="00476437">
        <w:rPr>
          <w:rFonts w:ascii="Cambria" w:hAnsi="Cambria"/>
          <w:color w:val="000000" w:themeColor="text1"/>
          <w:sz w:val="20"/>
          <w:szCs w:val="20"/>
          <w:lang w:val="es-VE"/>
        </w:rPr>
        <w:t xml:space="preserve"> mi</w:t>
      </w:r>
      <w:r w:rsidR="00476437" w:rsidRPr="00476437">
        <w:rPr>
          <w:rFonts w:ascii="Cambria" w:hAnsi="Cambria"/>
          <w:color w:val="000000" w:themeColor="text1"/>
          <w:sz w:val="20"/>
          <w:szCs w:val="20"/>
          <w:lang w:val="es-VE"/>
        </w:rPr>
        <w:t xml:space="preserve"> nombramiento como Fiscal Adjunto Provisional no puede ser concluid</w:t>
      </w:r>
      <w:r>
        <w:rPr>
          <w:rFonts w:ascii="Cambria" w:hAnsi="Cambria"/>
          <w:color w:val="000000" w:themeColor="text1"/>
          <w:sz w:val="20"/>
          <w:szCs w:val="20"/>
          <w:lang w:val="es-VE"/>
        </w:rPr>
        <w:t>o</w:t>
      </w:r>
      <w:r w:rsidR="00476437" w:rsidRPr="00476437">
        <w:rPr>
          <w:rFonts w:ascii="Cambria" w:hAnsi="Cambria"/>
          <w:color w:val="000000" w:themeColor="text1"/>
          <w:sz w:val="20"/>
          <w:szCs w:val="20"/>
          <w:lang w:val="es-VE"/>
        </w:rPr>
        <w:t xml:space="preserve"> llanamente por decisión unilateral y sobre todo cuando no existe r</w:t>
      </w:r>
      <w:r w:rsidR="009F07E1">
        <w:rPr>
          <w:rFonts w:ascii="Cambria" w:hAnsi="Cambria"/>
          <w:color w:val="000000" w:themeColor="text1"/>
          <w:sz w:val="20"/>
          <w:szCs w:val="20"/>
          <w:lang w:val="es-VE"/>
        </w:rPr>
        <w:t>azón justificada para efectuarlo</w:t>
      </w:r>
      <w:r w:rsidR="00476437" w:rsidRPr="00476437">
        <w:rPr>
          <w:rFonts w:ascii="Cambria" w:hAnsi="Cambria"/>
          <w:color w:val="000000" w:themeColor="text1"/>
          <w:sz w:val="20"/>
          <w:szCs w:val="20"/>
          <w:lang w:val="es-VE"/>
        </w:rPr>
        <w:t>.</w:t>
      </w:r>
    </w:p>
    <w:p w14:paraId="0C0105B1" w14:textId="77777777" w:rsidR="009F07E1" w:rsidRPr="00476437" w:rsidRDefault="009F07E1" w:rsidP="00C252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900"/>
        <w:jc w:val="both"/>
        <w:rPr>
          <w:rFonts w:ascii="Cambria" w:hAnsi="Cambria"/>
          <w:color w:val="000000" w:themeColor="text1"/>
          <w:sz w:val="20"/>
          <w:szCs w:val="20"/>
          <w:lang w:val="es-VE"/>
        </w:rPr>
      </w:pPr>
    </w:p>
    <w:p w14:paraId="1E4410D9" w14:textId="77777777" w:rsidR="00476437" w:rsidRPr="00476437" w:rsidRDefault="009F07E1" w:rsidP="00C252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900"/>
        <w:jc w:val="both"/>
        <w:rPr>
          <w:rFonts w:ascii="Cambria" w:hAnsi="Cambria"/>
          <w:color w:val="000000" w:themeColor="text1"/>
          <w:sz w:val="20"/>
          <w:szCs w:val="20"/>
          <w:lang w:val="es-VE"/>
        </w:rPr>
      </w:pPr>
      <w:r>
        <w:rPr>
          <w:rFonts w:ascii="Cambria" w:hAnsi="Cambria"/>
          <w:color w:val="000000" w:themeColor="text1"/>
          <w:sz w:val="20"/>
          <w:szCs w:val="20"/>
          <w:lang w:val="es-VE"/>
        </w:rPr>
        <w:t>(…</w:t>
      </w:r>
      <w:r w:rsidR="00BD75DA">
        <w:rPr>
          <w:rFonts w:ascii="Cambria" w:hAnsi="Cambria"/>
          <w:color w:val="000000" w:themeColor="text1"/>
          <w:sz w:val="20"/>
          <w:szCs w:val="20"/>
          <w:lang w:val="es-VE"/>
        </w:rPr>
        <w:t>) es</w:t>
      </w:r>
      <w:r w:rsidR="00476437" w:rsidRPr="00476437">
        <w:rPr>
          <w:rFonts w:ascii="Cambria" w:hAnsi="Cambria"/>
          <w:color w:val="000000" w:themeColor="text1"/>
          <w:sz w:val="20"/>
          <w:szCs w:val="20"/>
          <w:lang w:val="es-VE"/>
        </w:rPr>
        <w:t xml:space="preserve"> falso de que</w:t>
      </w:r>
      <w:r w:rsidR="003671F2">
        <w:rPr>
          <w:rFonts w:ascii="Cambria" w:hAnsi="Cambria"/>
          <w:color w:val="000000" w:themeColor="text1"/>
          <w:sz w:val="20"/>
          <w:szCs w:val="20"/>
          <w:lang w:val="es-VE"/>
        </w:rPr>
        <w:t xml:space="preserve"> (sic)</w:t>
      </w:r>
      <w:r w:rsidR="00476437" w:rsidRPr="00476437">
        <w:rPr>
          <w:rFonts w:ascii="Cambria" w:hAnsi="Cambria"/>
          <w:color w:val="000000" w:themeColor="text1"/>
          <w:sz w:val="20"/>
          <w:szCs w:val="20"/>
          <w:lang w:val="es-VE"/>
        </w:rPr>
        <w:t xml:space="preserve"> existan quejas administrativas que determinen una inconducta funcional. Así mismo al haber sido destituido y no haberme explicado motivos de tales decisiones se me está minusvalorando en mi conducta de persona humana…viola el prin</w:t>
      </w:r>
      <w:r>
        <w:rPr>
          <w:rFonts w:ascii="Cambria" w:hAnsi="Cambria"/>
          <w:color w:val="000000" w:themeColor="text1"/>
          <w:sz w:val="20"/>
          <w:szCs w:val="20"/>
          <w:lang w:val="es-VE"/>
        </w:rPr>
        <w:t>cipio de dignidad de la persona (…)</w:t>
      </w:r>
    </w:p>
    <w:p w14:paraId="34471B7E" w14:textId="77777777" w:rsidR="00476437" w:rsidRPr="00476437" w:rsidRDefault="00476437" w:rsidP="00C252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900"/>
        <w:jc w:val="both"/>
        <w:rPr>
          <w:rFonts w:ascii="Cambria" w:hAnsi="Cambria"/>
          <w:color w:val="000000" w:themeColor="text1"/>
          <w:sz w:val="20"/>
          <w:szCs w:val="20"/>
          <w:lang w:val="es-VE"/>
        </w:rPr>
      </w:pPr>
    </w:p>
    <w:p w14:paraId="26F66F44" w14:textId="77777777" w:rsidR="00476437" w:rsidRPr="00476437" w:rsidRDefault="009F07E1" w:rsidP="00C252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900"/>
        <w:jc w:val="both"/>
        <w:rPr>
          <w:rFonts w:ascii="Cambria" w:hAnsi="Cambria"/>
          <w:color w:val="000000" w:themeColor="text1"/>
          <w:sz w:val="20"/>
          <w:szCs w:val="20"/>
          <w:lang w:val="es-VE"/>
        </w:rPr>
      </w:pPr>
      <w:r>
        <w:rPr>
          <w:rFonts w:ascii="Cambria" w:hAnsi="Cambria"/>
          <w:color w:val="000000" w:themeColor="text1"/>
          <w:sz w:val="20"/>
          <w:szCs w:val="20"/>
          <w:lang w:val="es-VE"/>
        </w:rPr>
        <w:t>(…</w:t>
      </w:r>
      <w:r w:rsidR="00BD75DA">
        <w:rPr>
          <w:rFonts w:ascii="Cambria" w:hAnsi="Cambria"/>
          <w:color w:val="000000" w:themeColor="text1"/>
          <w:sz w:val="20"/>
          <w:szCs w:val="20"/>
          <w:lang w:val="es-VE"/>
        </w:rPr>
        <w:t>)</w:t>
      </w:r>
      <w:r w:rsidR="00BD75DA" w:rsidRPr="00476437">
        <w:rPr>
          <w:rFonts w:ascii="Cambria" w:hAnsi="Cambria"/>
          <w:color w:val="000000" w:themeColor="text1"/>
          <w:sz w:val="20"/>
          <w:szCs w:val="20"/>
          <w:lang w:val="es-VE"/>
        </w:rPr>
        <w:t xml:space="preserve"> para</w:t>
      </w:r>
      <w:r w:rsidR="00476437" w:rsidRPr="00476437">
        <w:rPr>
          <w:rFonts w:ascii="Cambria" w:hAnsi="Cambria"/>
          <w:color w:val="000000" w:themeColor="text1"/>
          <w:sz w:val="20"/>
          <w:szCs w:val="20"/>
          <w:lang w:val="es-VE"/>
        </w:rPr>
        <w:t xml:space="preserve"> ser separado en el cargo, requería de un procedimiento administrativo, dotado de toda las garantías, no afectando en lo mínimo el derecho de defensa</w:t>
      </w:r>
      <w:r w:rsidR="00476437" w:rsidRPr="00476437">
        <w:rPr>
          <w:rFonts w:ascii="Cambria" w:hAnsi="Cambria"/>
          <w:color w:val="000000" w:themeColor="text1"/>
          <w:sz w:val="20"/>
          <w:szCs w:val="20"/>
          <w:vertAlign w:val="superscript"/>
          <w:lang w:val="es-CL"/>
        </w:rPr>
        <w:footnoteReference w:id="12"/>
      </w:r>
      <w:r>
        <w:rPr>
          <w:rFonts w:ascii="Cambria" w:hAnsi="Cambria"/>
          <w:color w:val="000000" w:themeColor="text1"/>
          <w:sz w:val="20"/>
          <w:szCs w:val="20"/>
          <w:lang w:val="es-CL"/>
        </w:rPr>
        <w:t>.</w:t>
      </w:r>
    </w:p>
    <w:p w14:paraId="571749E9"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337B510D"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CL"/>
        </w:rPr>
        <w:t>El 19 de abril de 2005 el Despacho del Primer Juzgado Especializado en lo Civil de Huamanga  declaró infundada la demanda de Acción de Amparo. Dentro de sus consideraciones estimó:</w:t>
      </w:r>
    </w:p>
    <w:p w14:paraId="1CE13EA9" w14:textId="77777777" w:rsidR="00476437" w:rsidRPr="00476437" w:rsidRDefault="00476437" w:rsidP="00FE05A0">
      <w:pPr>
        <w:ind w:left="720"/>
        <w:rPr>
          <w:rFonts w:ascii="Cambria" w:eastAsia="Cambria" w:hAnsi="Cambria" w:cs="Cambria"/>
          <w:color w:val="000000" w:themeColor="text1"/>
          <w:sz w:val="20"/>
          <w:szCs w:val="20"/>
          <w:u w:color="000000"/>
          <w:lang w:val="es-CL" w:eastAsia="es-ES"/>
        </w:rPr>
      </w:pPr>
    </w:p>
    <w:p w14:paraId="574E2F80" w14:textId="1151C9EC" w:rsidR="005A3094" w:rsidRDefault="00476437" w:rsidP="00C252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7920"/>
        </w:tabs>
        <w:ind w:left="630" w:right="900"/>
        <w:jc w:val="both"/>
        <w:rPr>
          <w:rFonts w:ascii="Cambria" w:hAnsi="Cambria"/>
          <w:color w:val="000000" w:themeColor="text1"/>
          <w:sz w:val="20"/>
          <w:szCs w:val="20"/>
          <w:lang w:val="es-CL"/>
        </w:rPr>
      </w:pPr>
      <w:r w:rsidRPr="00476437">
        <w:rPr>
          <w:rFonts w:ascii="Cambria" w:hAnsi="Cambria"/>
          <w:color w:val="000000" w:themeColor="text1"/>
          <w:sz w:val="20"/>
          <w:szCs w:val="20"/>
          <w:lang w:val="es-CL"/>
        </w:rPr>
        <w:t xml:space="preserve">Que, al haber tenido el demandante la condición de Provisional en el cargo de Fiscal Adjunto Provincial y no así Titular; la decisión adoptada por la Fiscal de la Nación no constituye de modo alguno, medida disciplinaria de destitución del cargo prevista en el artículo 52 de la Ley Orgánica del Ministerio Publico, Decreto Legislativo 052, debiéndose por tanto desestimar la demanda interpuesta al no haberse acreditado vulneración constitucional alguna; tanto más si en la misma resolución cuya inaplicación se demanda, se precisa que la medida adoptada es sin perjuicio de las acciones legales que pudiesen ser pertinentes por la queja y denuncia que se encuentran en trámite; lo cual implica que ésas no constituyen el sustento de la misma </w:t>
      </w:r>
      <w:r w:rsidR="009F07E1">
        <w:rPr>
          <w:rFonts w:ascii="Cambria" w:hAnsi="Cambria"/>
          <w:color w:val="000000" w:themeColor="text1"/>
          <w:sz w:val="20"/>
          <w:szCs w:val="20"/>
          <w:lang w:val="es-CL"/>
        </w:rPr>
        <w:t>conforme se alega en la demanda</w:t>
      </w:r>
      <w:r w:rsidRPr="00476437">
        <w:rPr>
          <w:rFonts w:ascii="Cambria" w:hAnsi="Cambria"/>
          <w:color w:val="000000" w:themeColor="text1"/>
          <w:sz w:val="20"/>
          <w:szCs w:val="20"/>
          <w:vertAlign w:val="superscript"/>
          <w:lang w:val="es-CL"/>
        </w:rPr>
        <w:footnoteReference w:id="13"/>
      </w:r>
      <w:r w:rsidRPr="00476437">
        <w:rPr>
          <w:rFonts w:ascii="Cambria" w:hAnsi="Cambria"/>
          <w:color w:val="000000" w:themeColor="text1"/>
          <w:sz w:val="20"/>
          <w:szCs w:val="20"/>
          <w:lang w:val="es-CL"/>
        </w:rPr>
        <w:t>.</w:t>
      </w:r>
    </w:p>
    <w:p w14:paraId="09BC1C35" w14:textId="77777777" w:rsidR="00B82998" w:rsidRPr="00B82998" w:rsidRDefault="00B82998" w:rsidP="00B8299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8280"/>
        </w:tabs>
        <w:ind w:left="630" w:right="540"/>
        <w:jc w:val="both"/>
        <w:rPr>
          <w:rFonts w:ascii="Cambria" w:hAnsi="Cambria"/>
          <w:color w:val="000000" w:themeColor="text1"/>
          <w:sz w:val="20"/>
          <w:szCs w:val="20"/>
          <w:lang w:val="es-VE"/>
        </w:rPr>
      </w:pPr>
    </w:p>
    <w:p w14:paraId="6D812933" w14:textId="77777777" w:rsidR="00476437" w:rsidRPr="00476437" w:rsidRDefault="00476437" w:rsidP="00FE05A0">
      <w:pPr>
        <w:pStyle w:val="Heading3"/>
        <w:numPr>
          <w:ilvl w:val="0"/>
          <w:numId w:val="59"/>
        </w:numPr>
        <w:spacing w:before="0" w:after="0"/>
        <w:ind w:hanging="90"/>
        <w:rPr>
          <w:rFonts w:asciiTheme="majorHAnsi" w:hAnsiTheme="majorHAnsi"/>
          <w:b w:val="0"/>
          <w:bCs w:val="0"/>
          <w:sz w:val="20"/>
          <w:szCs w:val="20"/>
          <w:lang w:val="es-VE"/>
        </w:rPr>
      </w:pPr>
      <w:bookmarkStart w:id="11" w:name="_Toc521483537"/>
      <w:r w:rsidRPr="00476437">
        <w:rPr>
          <w:rFonts w:asciiTheme="majorHAnsi" w:hAnsiTheme="majorHAnsi"/>
          <w:sz w:val="20"/>
          <w:szCs w:val="20"/>
          <w:lang w:val="es-VE"/>
        </w:rPr>
        <w:t>Recurso de apelación y de agravio constitucional</w:t>
      </w:r>
      <w:bookmarkEnd w:id="11"/>
      <w:r w:rsidRPr="00476437">
        <w:rPr>
          <w:rFonts w:asciiTheme="majorHAnsi" w:hAnsiTheme="majorHAnsi"/>
          <w:sz w:val="20"/>
          <w:szCs w:val="20"/>
          <w:lang w:val="es-VE"/>
        </w:rPr>
        <w:t xml:space="preserve"> </w:t>
      </w:r>
    </w:p>
    <w:p w14:paraId="0F16725B"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6B2DC507" w14:textId="77777777" w:rsidR="00476437" w:rsidRPr="00476437" w:rsidRDefault="0047643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Posteriormente la presunta víctima interpuso recurso de apelación ante la Sala Civil de Ayacucho. El 11 de julio de 2005 la Sala Especializada en lo Civil de la Corte Superior de Justicia de Ayacucho resolvió confirmar la resolución del Primer Juzgado Especializado estimando que:</w:t>
      </w:r>
    </w:p>
    <w:p w14:paraId="55EC91AE"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6F9DAF07" w14:textId="77777777" w:rsidR="00476437" w:rsidRPr="00476437" w:rsidRDefault="00476437" w:rsidP="00C252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7920"/>
          <w:tab w:val="left" w:pos="8730"/>
        </w:tabs>
        <w:ind w:left="630" w:right="90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 el actor pretende alegar derechos que corresponden a los fiscales titulares, nombrados de acuerdo a lo previsto por los artículos ciento cincuenta y ciento cincuenticuatro de nuestra Carta Magna, ya que el cargo que venía desempeñando (…) como un nombramiento de confianza, era de Fiscal Adjunto Provincial Provisional de la Segunda  Fiscalía Provincial Penal de Huamanga, es decir, un cargo temporal, que como tal no genera más derechos que los inherentes a su cargo (…)</w:t>
      </w:r>
      <w:r w:rsidRPr="00476437">
        <w:rPr>
          <w:rFonts w:ascii="Cambria" w:hAnsi="Cambria"/>
          <w:color w:val="000000" w:themeColor="text1"/>
          <w:sz w:val="20"/>
          <w:szCs w:val="20"/>
          <w:vertAlign w:val="superscript"/>
          <w:lang w:val="es-VE"/>
        </w:rPr>
        <w:footnoteReference w:id="14"/>
      </w:r>
      <w:r w:rsidRPr="00476437">
        <w:rPr>
          <w:rFonts w:ascii="Cambria" w:hAnsi="Cambria"/>
          <w:color w:val="000000" w:themeColor="text1"/>
          <w:sz w:val="20"/>
          <w:szCs w:val="20"/>
          <w:lang w:val="es-VE"/>
        </w:rPr>
        <w:t>.</w:t>
      </w:r>
    </w:p>
    <w:p w14:paraId="0F509230"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ab/>
      </w:r>
      <w:r w:rsidRPr="00476437">
        <w:rPr>
          <w:rFonts w:ascii="Cambria" w:hAnsi="Cambria"/>
          <w:color w:val="000000" w:themeColor="text1"/>
          <w:sz w:val="20"/>
          <w:szCs w:val="20"/>
          <w:lang w:val="es-VE"/>
        </w:rPr>
        <w:tab/>
      </w:r>
    </w:p>
    <w:p w14:paraId="2104EB9E" w14:textId="77777777" w:rsidR="00476437" w:rsidRPr="00476437" w:rsidRDefault="00BD75DA"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El </w:t>
      </w:r>
      <w:r w:rsidR="00161A8C">
        <w:rPr>
          <w:rFonts w:ascii="Cambria" w:hAnsi="Cambria"/>
          <w:color w:val="000000" w:themeColor="text1"/>
          <w:sz w:val="20"/>
          <w:szCs w:val="20"/>
          <w:lang w:val="es-VE"/>
        </w:rPr>
        <w:t xml:space="preserve">mismo día, </w:t>
      </w:r>
      <w:r w:rsidR="00476437" w:rsidRPr="00476437">
        <w:rPr>
          <w:rFonts w:ascii="Cambria" w:hAnsi="Cambria"/>
          <w:color w:val="000000" w:themeColor="text1"/>
          <w:sz w:val="20"/>
          <w:szCs w:val="20"/>
          <w:lang w:val="es-VE"/>
        </w:rPr>
        <w:t>la presunta víctima interpuso recurso de agravio constitucional ante el Tribunal Constitucional contra la resolución de apelación. El 14 de noviembre de 2005 el Tribunal Constitucional emitió sentencia en la cual decl</w:t>
      </w:r>
      <w:r w:rsidR="003267E4">
        <w:rPr>
          <w:rFonts w:ascii="Cambria" w:hAnsi="Cambria"/>
          <w:color w:val="000000" w:themeColor="text1"/>
          <w:sz w:val="20"/>
          <w:szCs w:val="20"/>
          <w:lang w:val="es-VE"/>
        </w:rPr>
        <w:t>aró</w:t>
      </w:r>
      <w:r w:rsidR="00476437" w:rsidRPr="00476437">
        <w:rPr>
          <w:rFonts w:ascii="Cambria" w:hAnsi="Cambria"/>
          <w:color w:val="000000" w:themeColor="text1"/>
          <w:sz w:val="20"/>
          <w:szCs w:val="20"/>
          <w:lang w:val="es-VE"/>
        </w:rPr>
        <w:t xml:space="preserve"> infundada la demanda puesto que consideró que: </w:t>
      </w:r>
    </w:p>
    <w:p w14:paraId="54CFDE5E" w14:textId="77777777" w:rsidR="00476437" w:rsidRPr="00476437" w:rsidRDefault="00476437"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4592B169" w14:textId="77777777" w:rsidR="004D2720" w:rsidRDefault="00476437" w:rsidP="00C252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900"/>
        <w:jc w:val="both"/>
        <w:rPr>
          <w:rFonts w:ascii="Cambria" w:hAnsi="Cambria"/>
          <w:color w:val="000000" w:themeColor="text1"/>
          <w:sz w:val="20"/>
          <w:szCs w:val="20"/>
          <w:lang w:val="es-VE"/>
        </w:rPr>
      </w:pPr>
      <w:r w:rsidRPr="00476437">
        <w:rPr>
          <w:rFonts w:ascii="Cambria" w:hAnsi="Cambria"/>
          <w:color w:val="000000" w:themeColor="text1"/>
          <w:sz w:val="20"/>
          <w:szCs w:val="20"/>
          <w:lang w:val="es-VE"/>
        </w:rPr>
        <w:t>(…</w:t>
      </w:r>
      <w:r w:rsidR="003267E4" w:rsidRPr="00476437">
        <w:rPr>
          <w:rFonts w:ascii="Cambria" w:hAnsi="Cambria"/>
          <w:color w:val="000000" w:themeColor="text1"/>
          <w:sz w:val="20"/>
          <w:szCs w:val="20"/>
          <w:lang w:val="es-VE"/>
        </w:rPr>
        <w:t>) la</w:t>
      </w:r>
      <w:r w:rsidRPr="00476437">
        <w:rPr>
          <w:rFonts w:ascii="Cambria" w:hAnsi="Cambria"/>
          <w:color w:val="000000" w:themeColor="text1"/>
          <w:sz w:val="20"/>
          <w:szCs w:val="20"/>
          <w:lang w:val="es-VE"/>
        </w:rPr>
        <w:t xml:space="preserve"> suplencia o provisionalidad, como tal, constituye una situación que no genera más derechos que los inherentes al cargo que “provisionalmente” ejerce quien no tiene titularidad alguna. Siendo ello así, no puede pretenderse, en sede constitucional, la protección de derechos que no corresponden a quien no ha sido nombrado conforme a lo establecido en los artículos 150 y 154 de la Constitución, sino que ejerce, de manera interina, una función de carácter transitorio</w:t>
      </w:r>
      <w:r w:rsidRPr="00476437">
        <w:rPr>
          <w:rFonts w:ascii="Cambria" w:hAnsi="Cambria"/>
          <w:color w:val="000000" w:themeColor="text1"/>
          <w:sz w:val="20"/>
          <w:szCs w:val="20"/>
          <w:vertAlign w:val="superscript"/>
          <w:lang w:val="es-VE"/>
        </w:rPr>
        <w:footnoteReference w:id="15"/>
      </w:r>
      <w:r w:rsidRPr="00476437">
        <w:rPr>
          <w:rFonts w:ascii="Cambria" w:hAnsi="Cambria"/>
          <w:color w:val="000000" w:themeColor="text1"/>
          <w:sz w:val="20"/>
          <w:szCs w:val="20"/>
          <w:lang w:val="es-VE"/>
        </w:rPr>
        <w:t>.</w:t>
      </w:r>
    </w:p>
    <w:p w14:paraId="27ACED40" w14:textId="77777777" w:rsidR="00FA218C" w:rsidRPr="00F86A61" w:rsidRDefault="00FA218C"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540"/>
        <w:jc w:val="both"/>
        <w:rPr>
          <w:rFonts w:ascii="Cambria" w:hAnsi="Cambria"/>
          <w:color w:val="000000" w:themeColor="text1"/>
          <w:sz w:val="20"/>
          <w:szCs w:val="20"/>
          <w:lang w:val="es-VE"/>
        </w:rPr>
      </w:pPr>
    </w:p>
    <w:p w14:paraId="30167D81" w14:textId="77777777" w:rsidR="005D0DB1" w:rsidRDefault="00D12193" w:rsidP="00FE05A0">
      <w:pPr>
        <w:pStyle w:val="Heading1"/>
        <w:spacing w:before="0"/>
        <w:ind w:firstLine="0"/>
        <w:rPr>
          <w:color w:val="auto"/>
          <w:sz w:val="20"/>
          <w:szCs w:val="20"/>
          <w:lang w:val="es-ES_tradnl"/>
        </w:rPr>
      </w:pPr>
      <w:bookmarkStart w:id="12" w:name="_Toc521483538"/>
      <w:r w:rsidRPr="0067279B">
        <w:rPr>
          <w:color w:val="auto"/>
          <w:sz w:val="20"/>
          <w:szCs w:val="20"/>
          <w:lang w:val="es-ES_tradnl"/>
        </w:rPr>
        <w:t>ANÁLISIS DE DERECHO</w:t>
      </w:r>
      <w:bookmarkEnd w:id="12"/>
    </w:p>
    <w:p w14:paraId="69D97BC0" w14:textId="77777777" w:rsidR="00952A3F" w:rsidRPr="00952A3F" w:rsidRDefault="00952A3F" w:rsidP="00952A3F">
      <w:pPr>
        <w:rPr>
          <w:lang w:val="es-ES_tradnl"/>
        </w:rPr>
      </w:pPr>
    </w:p>
    <w:p w14:paraId="576D764D" w14:textId="77777777" w:rsidR="00965011" w:rsidRDefault="00965011" w:rsidP="00FE05A0">
      <w:pPr>
        <w:pStyle w:val="Heading2"/>
        <w:numPr>
          <w:ilvl w:val="0"/>
          <w:numId w:val="60"/>
        </w:numPr>
        <w:spacing w:before="0" w:after="0"/>
        <w:ind w:left="1440" w:hanging="720"/>
        <w:jc w:val="both"/>
        <w:rPr>
          <w:rFonts w:asciiTheme="majorHAnsi" w:hAnsiTheme="majorHAnsi"/>
          <w:i w:val="0"/>
          <w:sz w:val="20"/>
          <w:szCs w:val="20"/>
          <w:lang w:val="es-ES_tradnl"/>
        </w:rPr>
      </w:pPr>
      <w:bookmarkStart w:id="13" w:name="_Toc521483539"/>
      <w:r>
        <w:rPr>
          <w:rFonts w:asciiTheme="majorHAnsi" w:hAnsiTheme="majorHAnsi"/>
          <w:i w:val="0"/>
          <w:sz w:val="20"/>
          <w:szCs w:val="20"/>
          <w:lang w:val="es-ES_tradnl"/>
        </w:rPr>
        <w:t>Derechos a las garantías judiciales</w:t>
      </w:r>
      <w:r w:rsidR="00863872" w:rsidRPr="001E3078">
        <w:rPr>
          <w:rFonts w:ascii="Cambria" w:hAnsi="Cambria"/>
          <w:i w:val="0"/>
          <w:sz w:val="20"/>
          <w:szCs w:val="20"/>
          <w:vertAlign w:val="superscript"/>
        </w:rPr>
        <w:footnoteReference w:id="16"/>
      </w:r>
      <w:r w:rsidR="007577F9">
        <w:rPr>
          <w:rFonts w:asciiTheme="majorHAnsi" w:hAnsiTheme="majorHAnsi"/>
          <w:i w:val="0"/>
          <w:sz w:val="20"/>
          <w:szCs w:val="20"/>
          <w:lang w:val="es-ES_tradnl"/>
        </w:rPr>
        <w:t xml:space="preserve"> y</w:t>
      </w:r>
      <w:r>
        <w:rPr>
          <w:rFonts w:asciiTheme="majorHAnsi" w:hAnsiTheme="majorHAnsi"/>
          <w:i w:val="0"/>
          <w:sz w:val="20"/>
          <w:szCs w:val="20"/>
          <w:lang w:val="es-ES_tradnl"/>
        </w:rPr>
        <w:t xml:space="preserve"> principio de legalidad</w:t>
      </w:r>
      <w:r w:rsidR="00671DB0" w:rsidRPr="00671DB0">
        <w:rPr>
          <w:rStyle w:val="FootnoteReference"/>
          <w:rFonts w:ascii="Cambria" w:hAnsi="Cambria"/>
          <w:i w:val="0"/>
          <w:sz w:val="20"/>
          <w:szCs w:val="20"/>
          <w:lang w:val="es-ES"/>
        </w:rPr>
        <w:footnoteReference w:id="17"/>
      </w:r>
      <w:bookmarkEnd w:id="13"/>
      <w:r>
        <w:rPr>
          <w:rFonts w:asciiTheme="majorHAnsi" w:hAnsiTheme="majorHAnsi"/>
          <w:i w:val="0"/>
          <w:sz w:val="20"/>
          <w:szCs w:val="20"/>
          <w:lang w:val="es-ES_tradnl"/>
        </w:rPr>
        <w:t xml:space="preserve"> </w:t>
      </w:r>
    </w:p>
    <w:p w14:paraId="1D6043FD" w14:textId="77777777" w:rsidR="00952A3F" w:rsidRPr="00952A3F" w:rsidRDefault="00952A3F" w:rsidP="00952A3F">
      <w:pPr>
        <w:rPr>
          <w:lang w:val="es-ES_tradnl"/>
        </w:rPr>
      </w:pPr>
    </w:p>
    <w:p w14:paraId="111CF67D" w14:textId="77777777" w:rsidR="007E7215" w:rsidRPr="0067279B" w:rsidRDefault="007E7215" w:rsidP="00FE05A0">
      <w:pPr>
        <w:pStyle w:val="Heading2"/>
        <w:numPr>
          <w:ilvl w:val="0"/>
          <w:numId w:val="62"/>
        </w:numPr>
        <w:spacing w:before="0" w:after="0"/>
        <w:ind w:left="1440" w:hanging="720"/>
        <w:jc w:val="both"/>
        <w:rPr>
          <w:rFonts w:asciiTheme="majorHAnsi" w:hAnsiTheme="majorHAnsi"/>
          <w:i w:val="0"/>
          <w:sz w:val="20"/>
          <w:szCs w:val="20"/>
          <w:lang w:val="es-ES_tradnl"/>
        </w:rPr>
      </w:pPr>
      <w:bookmarkStart w:id="14" w:name="_Toc521483540"/>
      <w:r w:rsidRPr="0067279B">
        <w:rPr>
          <w:rFonts w:asciiTheme="majorHAnsi" w:hAnsiTheme="majorHAnsi"/>
          <w:i w:val="0"/>
          <w:sz w:val="20"/>
          <w:szCs w:val="20"/>
          <w:lang w:val="es-ES_tradnl"/>
        </w:rPr>
        <w:t>Consideraciones generales sobre las garantías aplicables</w:t>
      </w:r>
      <w:r w:rsidR="0030014C">
        <w:rPr>
          <w:rFonts w:asciiTheme="majorHAnsi" w:hAnsiTheme="majorHAnsi"/>
          <w:i w:val="0"/>
          <w:sz w:val="20"/>
          <w:szCs w:val="20"/>
          <w:lang w:val="es-ES_tradnl"/>
        </w:rPr>
        <w:t xml:space="preserve"> en procesos sancionatorios y de determinación de derechos</w:t>
      </w:r>
      <w:bookmarkEnd w:id="14"/>
    </w:p>
    <w:p w14:paraId="1F28C805" w14:textId="77777777" w:rsidR="007E7215" w:rsidRDefault="007E7215" w:rsidP="00FE05A0">
      <w:pPr>
        <w:pStyle w:val="ListParagraph"/>
        <w:ind w:left="1440"/>
        <w:rPr>
          <w:rFonts w:asciiTheme="majorHAnsi" w:hAnsiTheme="majorHAnsi"/>
          <w:b/>
          <w:color w:val="000000" w:themeColor="text1"/>
          <w:sz w:val="20"/>
          <w:szCs w:val="20"/>
          <w:lang w:val="es-ES_tradnl"/>
        </w:rPr>
      </w:pPr>
    </w:p>
    <w:p w14:paraId="7A8E1A8A" w14:textId="1D3E289B" w:rsidR="00920EA0" w:rsidRDefault="007E7215"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eastAsia="es-ES"/>
        </w:rPr>
      </w:pPr>
      <w:r w:rsidRPr="00D276E7">
        <w:rPr>
          <w:rFonts w:ascii="Cambria" w:hAnsi="Cambria"/>
          <w:sz w:val="20"/>
          <w:szCs w:val="20"/>
          <w:lang w:val="es-CO"/>
        </w:rPr>
        <w:t>La Comisión recuerda que ambos órganos del sistema interamericano han indicado que las garantías establecidas en el artículo 8 de la Convención Americana,  no se limitan a procesos penales</w:t>
      </w:r>
      <w:r w:rsidRPr="00D276E7">
        <w:rPr>
          <w:rFonts w:ascii="Cambria" w:hAnsi="Cambria"/>
          <w:sz w:val="20"/>
          <w:szCs w:val="20"/>
          <w:lang w:val="es-ES" w:eastAsia="es-ES"/>
        </w:rPr>
        <w:t>, sino que aplican a procesos de otra naturaleza</w:t>
      </w:r>
      <w:r w:rsidRPr="00D276E7">
        <w:rPr>
          <w:rFonts w:ascii="Cambria" w:hAnsi="Cambria"/>
          <w:sz w:val="20"/>
          <w:szCs w:val="20"/>
          <w:vertAlign w:val="superscript"/>
          <w:lang w:eastAsia="es-ES"/>
        </w:rPr>
        <w:footnoteReference w:id="18"/>
      </w:r>
      <w:r w:rsidRPr="00D276E7">
        <w:rPr>
          <w:rFonts w:ascii="Cambria" w:hAnsi="Cambria"/>
          <w:sz w:val="20"/>
          <w:szCs w:val="20"/>
          <w:lang w:val="es-ES" w:eastAsia="es-ES"/>
        </w:rPr>
        <w:t>.</w:t>
      </w:r>
      <w:r w:rsidR="00445EC3">
        <w:rPr>
          <w:rFonts w:ascii="Cambria" w:hAnsi="Cambria"/>
          <w:sz w:val="20"/>
          <w:szCs w:val="20"/>
          <w:lang w:val="es-ES" w:eastAsia="es-ES"/>
        </w:rPr>
        <w:t xml:space="preserve"> </w:t>
      </w:r>
      <w:r w:rsidR="00920EA0">
        <w:rPr>
          <w:rFonts w:ascii="Cambria" w:hAnsi="Cambria"/>
          <w:sz w:val="20"/>
          <w:szCs w:val="20"/>
          <w:lang w:val="es-ES" w:eastAsia="es-ES"/>
        </w:rPr>
        <w:t>Específicamente, cuando se trata de procesos sancionatorios, ambos órganos del sistema han indicado que aplican, análogamente, las garantías establecidas en el artículo 8.2 de la Convención Americana</w:t>
      </w:r>
      <w:r w:rsidR="00920EA0" w:rsidRPr="00D276E7">
        <w:rPr>
          <w:rFonts w:ascii="Cambria" w:hAnsi="Cambria"/>
          <w:sz w:val="20"/>
          <w:szCs w:val="20"/>
          <w:vertAlign w:val="superscript"/>
          <w:lang w:eastAsia="es-ES"/>
        </w:rPr>
        <w:footnoteReference w:id="19"/>
      </w:r>
      <w:r w:rsidR="00147730">
        <w:rPr>
          <w:rFonts w:ascii="Cambria" w:hAnsi="Cambria"/>
          <w:sz w:val="20"/>
          <w:szCs w:val="20"/>
          <w:lang w:val="es-ES" w:eastAsia="es-ES"/>
        </w:rPr>
        <w:t xml:space="preserve">. </w:t>
      </w:r>
      <w:r w:rsidR="00920EA0">
        <w:rPr>
          <w:rFonts w:ascii="Cambria" w:hAnsi="Cambria"/>
          <w:sz w:val="20"/>
          <w:szCs w:val="20"/>
          <w:lang w:val="es-ES" w:eastAsia="es-ES"/>
        </w:rPr>
        <w:t xml:space="preserve">En procesos en los cuales se ventilan derechos o intereses, </w:t>
      </w:r>
      <w:r w:rsidR="005E7D75" w:rsidRPr="00920EA0">
        <w:rPr>
          <w:rFonts w:ascii="Cambria" w:hAnsi="Cambria"/>
          <w:sz w:val="20"/>
          <w:szCs w:val="20"/>
          <w:lang w:val="es-ES" w:eastAsia="es-ES"/>
        </w:rPr>
        <w:t>resultan aplicables las “debidas garantías” establecidas en el artículo 8.1 de la Convención Americana, incluyendo el derecho a una motivación suficiente</w:t>
      </w:r>
      <w:r w:rsidR="005E7D75" w:rsidRPr="008752B9">
        <w:rPr>
          <w:rStyle w:val="FootnoteReference"/>
          <w:rFonts w:ascii="Cambria" w:hAnsi="Cambria"/>
          <w:sz w:val="20"/>
          <w:szCs w:val="20"/>
          <w:lang w:val="es-ES"/>
        </w:rPr>
        <w:footnoteReference w:id="20"/>
      </w:r>
      <w:r w:rsidR="005E7D75" w:rsidRPr="00920EA0">
        <w:rPr>
          <w:rFonts w:ascii="Cambria" w:hAnsi="Cambria"/>
          <w:sz w:val="20"/>
          <w:szCs w:val="20"/>
          <w:lang w:val="es-ES" w:eastAsia="es-ES"/>
        </w:rPr>
        <w:t xml:space="preserve">. </w:t>
      </w:r>
      <w:r w:rsidR="00BB26A5">
        <w:rPr>
          <w:rFonts w:ascii="Cambria" w:hAnsi="Cambria"/>
          <w:sz w:val="20"/>
          <w:szCs w:val="20"/>
          <w:lang w:val="es-ES" w:eastAsia="es-ES"/>
        </w:rPr>
        <w:t>Asimismo, el Tribunal Europeo ha dispuesto que las garantías del debido proceso deben respetarse y garantizarse en el marco de procedimientos administrativos que concluyen en el despido de un servidor público</w:t>
      </w:r>
      <w:r w:rsidR="00BB26A5">
        <w:rPr>
          <w:rStyle w:val="FootnoteReference"/>
          <w:rFonts w:ascii="Cambria" w:hAnsi="Cambria"/>
          <w:sz w:val="20"/>
          <w:szCs w:val="20"/>
          <w:lang w:val="es-ES" w:eastAsia="es-ES"/>
        </w:rPr>
        <w:footnoteReference w:id="21"/>
      </w:r>
      <w:r w:rsidR="00BB26A5">
        <w:rPr>
          <w:rFonts w:ascii="Cambria" w:hAnsi="Cambria"/>
          <w:sz w:val="20"/>
          <w:szCs w:val="20"/>
          <w:lang w:val="es-ES" w:eastAsia="es-ES"/>
        </w:rPr>
        <w:t>.</w:t>
      </w:r>
    </w:p>
    <w:p w14:paraId="389D1F36" w14:textId="77777777" w:rsidR="00920EA0" w:rsidRDefault="00920EA0" w:rsidP="0052539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eastAsia="es-ES"/>
        </w:rPr>
      </w:pPr>
    </w:p>
    <w:p w14:paraId="7EC336DA" w14:textId="77777777" w:rsidR="00545D17" w:rsidRDefault="005E7D75"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eastAsia="es-ES"/>
        </w:rPr>
      </w:pPr>
      <w:r>
        <w:rPr>
          <w:rFonts w:ascii="Cambria" w:hAnsi="Cambria"/>
          <w:sz w:val="20"/>
          <w:szCs w:val="20"/>
          <w:lang w:val="es-ES" w:eastAsia="es-ES"/>
        </w:rPr>
        <w:t xml:space="preserve"> </w:t>
      </w:r>
      <w:r w:rsidR="009C078F">
        <w:rPr>
          <w:rFonts w:ascii="Cambria" w:hAnsi="Cambria"/>
          <w:sz w:val="20"/>
          <w:szCs w:val="20"/>
          <w:lang w:val="es-ES" w:eastAsia="es-ES"/>
        </w:rPr>
        <w:t>Conforme a lo anterior, l</w:t>
      </w:r>
      <w:r w:rsidRPr="000203AB">
        <w:rPr>
          <w:rFonts w:ascii="Cambria" w:hAnsi="Cambria"/>
          <w:sz w:val="20"/>
          <w:szCs w:val="20"/>
          <w:lang w:val="es-ES" w:eastAsia="es-ES"/>
        </w:rPr>
        <w:t>a determinación de cuáles son las debidas garantías en un proceso específico de determinación de derechos, deberá efectuarse según la naturaleza del proceso y los bienes jurídicos en juego</w:t>
      </w:r>
      <w:r w:rsidRPr="008752B9">
        <w:rPr>
          <w:rStyle w:val="FootnoteReference"/>
          <w:rFonts w:ascii="Cambria" w:hAnsi="Cambria"/>
          <w:sz w:val="20"/>
          <w:szCs w:val="20"/>
          <w:lang w:val="es-ES_tradnl"/>
        </w:rPr>
        <w:footnoteReference w:id="22"/>
      </w:r>
      <w:r w:rsidRPr="000203AB">
        <w:rPr>
          <w:rFonts w:ascii="Cambria" w:hAnsi="Cambria"/>
          <w:sz w:val="20"/>
          <w:szCs w:val="20"/>
          <w:lang w:val="es-ES" w:eastAsia="es-ES"/>
        </w:rPr>
        <w:t xml:space="preserve">. </w:t>
      </w:r>
    </w:p>
    <w:p w14:paraId="2FEB5A64" w14:textId="77777777" w:rsidR="00FE05A0" w:rsidRDefault="00FE05A0"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eastAsia="es-ES"/>
        </w:rPr>
      </w:pPr>
    </w:p>
    <w:p w14:paraId="05347DD1" w14:textId="77777777" w:rsidR="000E035F" w:rsidRDefault="000E035F"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eastAsia="es-ES"/>
        </w:rPr>
      </w:pPr>
    </w:p>
    <w:p w14:paraId="49CB6556" w14:textId="77777777" w:rsidR="000E035F" w:rsidRDefault="000E035F"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eastAsia="es-ES"/>
        </w:rPr>
      </w:pPr>
    </w:p>
    <w:p w14:paraId="1AFB66BE" w14:textId="77777777" w:rsidR="000E035F" w:rsidRDefault="000E035F"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eastAsia="es-ES"/>
        </w:rPr>
      </w:pPr>
    </w:p>
    <w:p w14:paraId="39A139FA" w14:textId="77777777" w:rsidR="000E035F" w:rsidRDefault="000E035F"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eastAsia="es-ES"/>
        </w:rPr>
      </w:pPr>
    </w:p>
    <w:p w14:paraId="7939F313" w14:textId="77777777" w:rsidR="000E035F" w:rsidRDefault="000E035F"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eastAsia="es-ES"/>
        </w:rPr>
      </w:pPr>
    </w:p>
    <w:p w14:paraId="72F7701D" w14:textId="77777777" w:rsidR="009C4EB2" w:rsidRPr="0067279B" w:rsidRDefault="000C734D" w:rsidP="00A94FA2">
      <w:pPr>
        <w:pStyle w:val="Heading2"/>
        <w:numPr>
          <w:ilvl w:val="0"/>
          <w:numId w:val="62"/>
        </w:numPr>
        <w:spacing w:before="0" w:after="0"/>
        <w:ind w:left="1440" w:hanging="720"/>
        <w:jc w:val="both"/>
        <w:rPr>
          <w:rFonts w:asciiTheme="majorHAnsi" w:hAnsiTheme="majorHAnsi"/>
          <w:i w:val="0"/>
          <w:sz w:val="20"/>
          <w:szCs w:val="20"/>
          <w:lang w:val="es-ES_tradnl"/>
        </w:rPr>
      </w:pPr>
      <w:bookmarkStart w:id="15" w:name="_Toc521483541"/>
      <w:r>
        <w:rPr>
          <w:rFonts w:asciiTheme="majorHAnsi" w:hAnsiTheme="majorHAnsi"/>
          <w:i w:val="0"/>
          <w:sz w:val="20"/>
          <w:szCs w:val="20"/>
          <w:lang w:val="es-ES_tradnl"/>
        </w:rPr>
        <w:t>Consideraciones generales sobre las garantías aplicables a operadores</w:t>
      </w:r>
      <w:r w:rsidR="00F50699">
        <w:rPr>
          <w:rFonts w:asciiTheme="majorHAnsi" w:hAnsiTheme="majorHAnsi"/>
          <w:i w:val="0"/>
          <w:sz w:val="20"/>
          <w:szCs w:val="20"/>
          <w:lang w:val="es-ES_tradnl"/>
        </w:rPr>
        <w:t xml:space="preserve"> y operadoras</w:t>
      </w:r>
      <w:r>
        <w:rPr>
          <w:rFonts w:asciiTheme="majorHAnsi" w:hAnsiTheme="majorHAnsi"/>
          <w:i w:val="0"/>
          <w:sz w:val="20"/>
          <w:szCs w:val="20"/>
          <w:lang w:val="es-ES_tradnl"/>
        </w:rPr>
        <w:t xml:space="preserve"> judiciales incluyendo fiscales</w:t>
      </w:r>
      <w:bookmarkEnd w:id="15"/>
    </w:p>
    <w:p w14:paraId="1994F4CF" w14:textId="77777777" w:rsidR="0023488D" w:rsidRPr="00F808C5" w:rsidRDefault="0023488D"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eastAsia="es-ES"/>
        </w:rPr>
      </w:pPr>
    </w:p>
    <w:p w14:paraId="02806ED0" w14:textId="77777777" w:rsidR="00D5365D" w:rsidRPr="00D5365D" w:rsidRDefault="002D33F6" w:rsidP="00400438">
      <w:pPr>
        <w:pStyle w:val="Heading3"/>
        <w:numPr>
          <w:ilvl w:val="1"/>
          <w:numId w:val="62"/>
        </w:numPr>
        <w:spacing w:before="0" w:after="0"/>
        <w:ind w:left="1440" w:hanging="720"/>
        <w:jc w:val="both"/>
        <w:rPr>
          <w:rFonts w:ascii="Cambria" w:hAnsi="Cambria"/>
          <w:sz w:val="20"/>
          <w:szCs w:val="20"/>
          <w:lang w:val="es-ES_tradnl"/>
        </w:rPr>
      </w:pPr>
      <w:bookmarkStart w:id="16" w:name="_Toc521483542"/>
      <w:r>
        <w:rPr>
          <w:rFonts w:ascii="Cambria" w:hAnsi="Cambria"/>
          <w:sz w:val="20"/>
          <w:szCs w:val="20"/>
          <w:lang w:val="es-ES_tradnl"/>
        </w:rPr>
        <w:t xml:space="preserve">El principio de independencia judicial y la remoción de </w:t>
      </w:r>
      <w:r w:rsidR="004F6F01">
        <w:rPr>
          <w:rFonts w:ascii="Cambria" w:hAnsi="Cambria"/>
          <w:sz w:val="20"/>
          <w:szCs w:val="20"/>
          <w:lang w:val="es-ES_tradnl"/>
        </w:rPr>
        <w:t>operadores</w:t>
      </w:r>
      <w:r w:rsidR="00EE2B89">
        <w:rPr>
          <w:rFonts w:ascii="Cambria" w:hAnsi="Cambria"/>
          <w:sz w:val="20"/>
          <w:szCs w:val="20"/>
          <w:lang w:val="es-ES_tradnl"/>
        </w:rPr>
        <w:t xml:space="preserve"> y operadoras judiciales</w:t>
      </w:r>
      <w:bookmarkEnd w:id="16"/>
      <w:r>
        <w:rPr>
          <w:rFonts w:ascii="Cambria" w:hAnsi="Cambria"/>
          <w:sz w:val="20"/>
          <w:szCs w:val="20"/>
          <w:lang w:val="es-ES_tradnl"/>
        </w:rPr>
        <w:t xml:space="preserve"> </w:t>
      </w:r>
    </w:p>
    <w:p w14:paraId="1427CB3A" w14:textId="77777777" w:rsidR="00D5365D" w:rsidRPr="000E40DD" w:rsidRDefault="00D5365D" w:rsidP="00FE05A0">
      <w:pPr>
        <w:rPr>
          <w:lang w:val="es-ES_tradnl"/>
        </w:rPr>
      </w:pPr>
    </w:p>
    <w:p w14:paraId="55AC233F" w14:textId="77777777" w:rsidR="00D5074E" w:rsidRDefault="00D5365D"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 w:eastAsia="es-ES"/>
        </w:rPr>
        <w:t xml:space="preserve">La CIDH ha indicado que el principio de independencia judicial </w:t>
      </w:r>
      <w:r w:rsidRPr="00D5365D">
        <w:rPr>
          <w:rFonts w:ascii="Cambria" w:hAnsi="Cambria"/>
          <w:sz w:val="20"/>
          <w:szCs w:val="20"/>
          <w:lang w:val="es-CO"/>
        </w:rPr>
        <w:t>es un requisito inherente a un sistema democrático y un prerrequisito fundamental para la protección de los derechos humanos</w:t>
      </w:r>
      <w:r w:rsidRPr="001E3078">
        <w:rPr>
          <w:rStyle w:val="FootnoteReference"/>
          <w:rFonts w:ascii="Cambria" w:hAnsi="Cambria"/>
          <w:sz w:val="20"/>
          <w:szCs w:val="20"/>
          <w:lang w:val="es-CO"/>
        </w:rPr>
        <w:footnoteReference w:id="23"/>
      </w:r>
      <w:r w:rsidRPr="00D5365D">
        <w:rPr>
          <w:rFonts w:ascii="Cambria" w:hAnsi="Cambria"/>
          <w:sz w:val="20"/>
          <w:szCs w:val="20"/>
          <w:lang w:val="es-CO"/>
        </w:rPr>
        <w:t>. Se encuentra consagrado como una de las garantías del debido proceso protegida por el artículo 8.1 de la Convención Americana y, además, de dicho principio se desprenden a su vez garantías “reforzadas”</w:t>
      </w:r>
      <w:r w:rsidRPr="001E3078">
        <w:rPr>
          <w:rStyle w:val="FootnoteReference"/>
          <w:rFonts w:ascii="Cambria" w:hAnsi="Cambria"/>
          <w:sz w:val="20"/>
          <w:szCs w:val="20"/>
          <w:lang w:val="es-CO"/>
        </w:rPr>
        <w:footnoteReference w:id="24"/>
      </w:r>
      <w:r w:rsidRPr="00D5365D">
        <w:rPr>
          <w:rFonts w:ascii="Cambria" w:hAnsi="Cambria"/>
          <w:sz w:val="20"/>
          <w:szCs w:val="20"/>
          <w:lang w:val="es-CO"/>
        </w:rPr>
        <w:t xml:space="preserve"> que los Estados deben brindar a los jueces y juezas a fin de asegurar su independencia</w:t>
      </w:r>
      <w:r w:rsidRPr="001E3078">
        <w:rPr>
          <w:rStyle w:val="FootnoteReference"/>
          <w:rFonts w:ascii="Cambria" w:hAnsi="Cambria"/>
          <w:sz w:val="20"/>
          <w:szCs w:val="20"/>
          <w:lang w:val="es-CO"/>
        </w:rPr>
        <w:footnoteReference w:id="25"/>
      </w:r>
      <w:r w:rsidRPr="00D5365D">
        <w:rPr>
          <w:rFonts w:ascii="Cambria" w:hAnsi="Cambria"/>
          <w:sz w:val="20"/>
          <w:szCs w:val="20"/>
          <w:lang w:val="es-CO"/>
        </w:rPr>
        <w:t>. Los órganos del sistema interamericano han interpretado el principio de independencia judicial en el sentido de incorporar las siguientes garantías: adecuado proceso de nombramiento, inamovilidad en el cargo y garantía contra presiones externas</w:t>
      </w:r>
      <w:r w:rsidRPr="001E3078">
        <w:rPr>
          <w:rStyle w:val="FootnoteReference"/>
          <w:rFonts w:ascii="Cambria" w:hAnsi="Cambria"/>
          <w:sz w:val="20"/>
          <w:szCs w:val="20"/>
          <w:lang w:val="es-CO"/>
        </w:rPr>
        <w:footnoteReference w:id="26"/>
      </w:r>
      <w:r w:rsidRPr="00D5365D">
        <w:rPr>
          <w:rFonts w:ascii="Cambria" w:hAnsi="Cambria"/>
          <w:sz w:val="20"/>
          <w:szCs w:val="20"/>
          <w:lang w:val="es-CO"/>
        </w:rPr>
        <w:t>.</w:t>
      </w:r>
    </w:p>
    <w:p w14:paraId="47D11B0D" w14:textId="77777777" w:rsidR="00D5074E" w:rsidRPr="00D5074E" w:rsidRDefault="00D5074E"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14:paraId="3C07A288" w14:textId="77777777" w:rsidR="00825109" w:rsidRPr="000B6F66" w:rsidRDefault="00D5074E"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 xml:space="preserve">Específicamente, respecto de las garantías para asegurar la inamovilidad, la Corte ha indicado que </w:t>
      </w:r>
      <w:r w:rsidR="000B6F66">
        <w:rPr>
          <w:rFonts w:ascii="Cambria" w:hAnsi="Cambria"/>
          <w:sz w:val="20"/>
          <w:szCs w:val="20"/>
          <w:lang w:val="es-ES_tradnl"/>
        </w:rPr>
        <w:t>los procesos</w:t>
      </w:r>
      <w:r w:rsidR="007F46EB">
        <w:rPr>
          <w:rFonts w:ascii="Cambria" w:hAnsi="Cambria"/>
          <w:sz w:val="20"/>
          <w:szCs w:val="20"/>
          <w:lang w:val="es-ES_tradnl"/>
        </w:rPr>
        <w:t xml:space="preserve"> que pueden culminar con la separación de un operador u operadora judicial,</w:t>
      </w:r>
      <w:r w:rsidR="000B6F66">
        <w:rPr>
          <w:rFonts w:ascii="Cambria" w:hAnsi="Cambria"/>
          <w:sz w:val="20"/>
          <w:szCs w:val="20"/>
          <w:lang w:val="es-ES_tradnl"/>
        </w:rPr>
        <w:t xml:space="preserve"> deben desarrollarse de manera compatible con el principio de independencia judicial. </w:t>
      </w:r>
      <w:r w:rsidR="00825109" w:rsidRPr="000B6F66">
        <w:rPr>
          <w:rFonts w:ascii="Cambria" w:hAnsi="Cambria"/>
          <w:sz w:val="20"/>
          <w:szCs w:val="20"/>
          <w:lang w:val="es-ES_tradnl"/>
        </w:rPr>
        <w:t xml:space="preserve">Ello implica que los </w:t>
      </w:r>
      <w:r w:rsidR="00825109" w:rsidRPr="000B6F66">
        <w:rPr>
          <w:rFonts w:asciiTheme="majorHAnsi" w:hAnsiTheme="majorHAnsi"/>
          <w:sz w:val="20"/>
          <w:szCs w:val="20"/>
          <w:bdr w:val="none" w:sz="0" w:space="0" w:color="auto"/>
          <w:lang w:val="es-VE"/>
        </w:rPr>
        <w:t>Estados deben asegurar que todas las personas que ejerzan la función judicial cuenten con garantías de estabilidad reforzada, entendiendo</w:t>
      </w:r>
      <w:r w:rsidR="000B0945">
        <w:rPr>
          <w:rFonts w:asciiTheme="majorHAnsi" w:hAnsiTheme="majorHAnsi"/>
          <w:sz w:val="20"/>
          <w:szCs w:val="20"/>
          <w:bdr w:val="none" w:sz="0" w:space="0" w:color="auto"/>
          <w:lang w:val="es-VE"/>
        </w:rPr>
        <w:t xml:space="preserve"> por ello</w:t>
      </w:r>
      <w:r w:rsidR="00825109" w:rsidRPr="000B6F66">
        <w:rPr>
          <w:rFonts w:asciiTheme="majorHAnsi" w:hAnsiTheme="majorHAnsi"/>
          <w:sz w:val="20"/>
          <w:szCs w:val="20"/>
          <w:bdr w:val="none" w:sz="0" w:space="0" w:color="auto"/>
          <w:lang w:val="es-VE"/>
        </w:rPr>
        <w:t xml:space="preserve"> que la destitución o cese de un juez</w:t>
      </w:r>
      <w:r w:rsidR="00061C29">
        <w:rPr>
          <w:rFonts w:asciiTheme="majorHAnsi" w:hAnsiTheme="majorHAnsi"/>
          <w:sz w:val="20"/>
          <w:szCs w:val="20"/>
          <w:bdr w:val="none" w:sz="0" w:space="0" w:color="auto"/>
          <w:lang w:val="es-VE"/>
        </w:rPr>
        <w:t xml:space="preserve"> o jueza</w:t>
      </w:r>
      <w:r w:rsidR="00825109" w:rsidRPr="000B6F66">
        <w:rPr>
          <w:rFonts w:asciiTheme="majorHAnsi" w:hAnsiTheme="majorHAnsi"/>
          <w:sz w:val="20"/>
          <w:szCs w:val="20"/>
          <w:bdr w:val="none" w:sz="0" w:space="0" w:color="auto"/>
          <w:lang w:val="es-VE"/>
        </w:rPr>
        <w:t xml:space="preserve"> en su cargo puede proceder por dos razones fundamentales: i. por incurrir en </w:t>
      </w:r>
      <w:r w:rsidR="00825109" w:rsidRPr="000B6F66">
        <w:rPr>
          <w:rFonts w:ascii="Cambria" w:hAnsi="Cambria" w:cs="Verdana"/>
          <w:sz w:val="20"/>
          <w:szCs w:val="20"/>
          <w:lang w:val="es-UY"/>
        </w:rPr>
        <w:t>conductas “claramente reprochables”, “razones verdaderamente graves de mala conducta o incompetencia”</w:t>
      </w:r>
      <w:r w:rsidR="00825109" w:rsidRPr="00D276E7">
        <w:rPr>
          <w:rFonts w:ascii="Cambria" w:hAnsi="Cambria"/>
          <w:sz w:val="20"/>
          <w:szCs w:val="20"/>
          <w:vertAlign w:val="superscript"/>
          <w:lang w:val="es-UY"/>
        </w:rPr>
        <w:footnoteReference w:id="27"/>
      </w:r>
      <w:r w:rsidR="00F2781A" w:rsidRPr="000B6F66">
        <w:rPr>
          <w:rFonts w:ascii="Cambria" w:hAnsi="Cambria" w:cs="Verdana"/>
          <w:sz w:val="20"/>
          <w:szCs w:val="20"/>
          <w:lang w:val="es-UY"/>
        </w:rPr>
        <w:t xml:space="preserve"> o bien ii.</w:t>
      </w:r>
      <w:r w:rsidR="00825109" w:rsidRPr="000B6F66">
        <w:rPr>
          <w:rFonts w:ascii="Cambria" w:hAnsi="Cambria" w:cs="Verdana"/>
          <w:sz w:val="20"/>
          <w:szCs w:val="20"/>
          <w:lang w:val="es-UY"/>
        </w:rPr>
        <w:t xml:space="preserve"> por cumplirse el plazo o condición establecida en la designación. La provisionalidad no equivale a libre remoción y no debe significar alteración alguna del régimen de garantías para el buen desempeño del juzgador y la salvaguarda de los propios justiciables</w:t>
      </w:r>
      <w:r w:rsidR="00825109" w:rsidRPr="00A17FCC">
        <w:rPr>
          <w:rFonts w:asciiTheme="majorHAnsi" w:hAnsiTheme="majorHAnsi"/>
          <w:sz w:val="20"/>
          <w:vertAlign w:val="superscript"/>
        </w:rPr>
        <w:footnoteReference w:id="28"/>
      </w:r>
      <w:r w:rsidR="00825109" w:rsidRPr="000B6F66">
        <w:rPr>
          <w:rFonts w:ascii="Cambria" w:hAnsi="Cambria" w:cs="Verdana"/>
          <w:sz w:val="20"/>
          <w:szCs w:val="20"/>
          <w:lang w:val="es-UY"/>
        </w:rPr>
        <w:t xml:space="preserve">. </w:t>
      </w:r>
    </w:p>
    <w:p w14:paraId="0BF308F6" w14:textId="77777777" w:rsidR="00D61570" w:rsidRPr="000C3687" w:rsidRDefault="00D61570"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05AB78C6" w14:textId="77777777" w:rsidR="00F27BA5" w:rsidRPr="0084344B" w:rsidRDefault="00CC5323"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Pr>
          <w:rFonts w:asciiTheme="majorHAnsi" w:hAnsiTheme="majorHAnsi"/>
          <w:sz w:val="20"/>
          <w:szCs w:val="20"/>
          <w:lang w:val="es-ES_tradnl"/>
        </w:rPr>
        <w:t>L</w:t>
      </w:r>
      <w:r w:rsidR="000C3687" w:rsidRPr="0082190A">
        <w:rPr>
          <w:rFonts w:asciiTheme="majorHAnsi" w:hAnsiTheme="majorHAnsi"/>
          <w:sz w:val="20"/>
          <w:szCs w:val="20"/>
          <w:lang w:val="es-ES_tradnl"/>
        </w:rPr>
        <w:t xml:space="preserve">a estabilidad en el cargo de las y </w:t>
      </w:r>
      <w:r w:rsidR="000C3687" w:rsidRPr="0082190A">
        <w:rPr>
          <w:rFonts w:asciiTheme="majorHAnsi" w:hAnsiTheme="majorHAnsi"/>
          <w:sz w:val="20"/>
          <w:szCs w:val="20"/>
          <w:lang w:val="es-VE"/>
        </w:rPr>
        <w:t xml:space="preserve">los operadores de justicia está estrechamente ligada a la garantía contra presiones externas e internas, ya que si no tienen la seguridad de permanencia durante un periodo determinado, serán vulnerables a presiones de distintos sectores, principalmente de quienes tienen la facultad de decidir sobre sus destituciones. </w:t>
      </w:r>
    </w:p>
    <w:p w14:paraId="1E44E846" w14:textId="77777777" w:rsidR="0084344B" w:rsidRPr="001378AC" w:rsidRDefault="0084344B"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548F7C93" w14:textId="4DB04DE4" w:rsidR="00DB089B" w:rsidRPr="002020EC" w:rsidRDefault="000C368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82190A">
        <w:rPr>
          <w:rFonts w:asciiTheme="majorHAnsi" w:hAnsiTheme="majorHAnsi"/>
          <w:sz w:val="20"/>
          <w:szCs w:val="20"/>
          <w:lang w:val="es-VE"/>
        </w:rPr>
        <w:t>En virtud de ello</w:t>
      </w:r>
      <w:r w:rsidR="006A59E9">
        <w:rPr>
          <w:rFonts w:asciiTheme="majorHAnsi" w:hAnsiTheme="majorHAnsi"/>
          <w:sz w:val="20"/>
          <w:szCs w:val="20"/>
          <w:lang w:val="es-VE"/>
        </w:rPr>
        <w:t>,</w:t>
      </w:r>
      <w:r w:rsidRPr="0082190A">
        <w:rPr>
          <w:rFonts w:asciiTheme="majorHAnsi" w:hAnsiTheme="majorHAnsi"/>
          <w:sz w:val="20"/>
          <w:szCs w:val="20"/>
          <w:lang w:val="es-VE"/>
        </w:rPr>
        <w:t xml:space="preserve"> la Comisión </w:t>
      </w:r>
      <w:r w:rsidR="00D06D84">
        <w:rPr>
          <w:rFonts w:asciiTheme="majorHAnsi" w:hAnsiTheme="majorHAnsi"/>
          <w:sz w:val="20"/>
          <w:szCs w:val="20"/>
          <w:lang w:val="es-VE"/>
        </w:rPr>
        <w:t xml:space="preserve">reitera </w:t>
      </w:r>
      <w:r w:rsidRPr="0082190A">
        <w:rPr>
          <w:rFonts w:asciiTheme="majorHAnsi" w:hAnsiTheme="majorHAnsi"/>
          <w:sz w:val="20"/>
          <w:szCs w:val="20"/>
          <w:lang w:val="es-VE"/>
        </w:rPr>
        <w:t xml:space="preserve">que </w:t>
      </w:r>
      <w:r w:rsidR="00AB3B97">
        <w:rPr>
          <w:rFonts w:asciiTheme="majorHAnsi" w:hAnsiTheme="majorHAnsi"/>
          <w:sz w:val="20"/>
          <w:szCs w:val="20"/>
          <w:lang w:val="es-VE"/>
        </w:rPr>
        <w:t>los Estados deben asegurar que todas las personas que ejerzan</w:t>
      </w:r>
      <w:r w:rsidR="00C252E1">
        <w:rPr>
          <w:rFonts w:asciiTheme="majorHAnsi" w:hAnsiTheme="majorHAnsi"/>
          <w:sz w:val="20"/>
          <w:szCs w:val="20"/>
          <w:lang w:val="es-VE"/>
        </w:rPr>
        <w:t xml:space="preserve"> la</w:t>
      </w:r>
      <w:r w:rsidR="00AB3B97">
        <w:rPr>
          <w:rFonts w:asciiTheme="majorHAnsi" w:hAnsiTheme="majorHAnsi"/>
          <w:sz w:val="20"/>
          <w:szCs w:val="20"/>
          <w:lang w:val="es-VE"/>
        </w:rPr>
        <w:t xml:space="preserve"> función judicial cuenten con garantías de estabilidad reforzada, entendiendo que, salvo la comisión de graves faltas disciplinarias, la estabilidad en el cargo debe ser respetada por el plazo o condición establecida en la designación, sin distinción entre los jueces de carrera y aquellos que ejercen temporal o provisoriamente la función judicial. Tal temporalidad o provisionalidad debe estar determinada por un término o condición específica del ejercicio de la judicatura, a fin de garantizar que estos jueces no serán </w:t>
      </w:r>
      <w:r w:rsidR="002020EC">
        <w:rPr>
          <w:rFonts w:asciiTheme="majorHAnsi" w:hAnsiTheme="majorHAnsi"/>
          <w:sz w:val="20"/>
          <w:szCs w:val="20"/>
          <w:lang w:val="es-VE"/>
        </w:rPr>
        <w:t>removidos de sus cargos en razón de los fallos que adopten o en virtud de decisiones arbitrarias de entes administrativos o judiciales. El nombramiento de</w:t>
      </w:r>
      <w:r w:rsidR="00D4540B">
        <w:rPr>
          <w:rFonts w:asciiTheme="majorHAnsi" w:hAnsiTheme="majorHAnsi"/>
          <w:sz w:val="20"/>
          <w:szCs w:val="20"/>
          <w:lang w:val="es-VE"/>
        </w:rPr>
        <w:t xml:space="preserve"> operadores u operadoras judiciales</w:t>
      </w:r>
      <w:r w:rsidR="002020EC">
        <w:rPr>
          <w:rFonts w:asciiTheme="majorHAnsi" w:hAnsiTheme="majorHAnsi"/>
          <w:sz w:val="20"/>
          <w:szCs w:val="20"/>
          <w:lang w:val="es-VE"/>
        </w:rPr>
        <w:t xml:space="preserve"> temporales sin un plazo o condición en su nombramiento, debe considerarse incompatible con las obligaciones internacionales de un Estado en materia de independencia judicial y no puede esgrimirse como excusa para no otorgar garantías de debido proceso en una decisión de remoción</w:t>
      </w:r>
      <w:r w:rsidR="002020EC" w:rsidRPr="00617287">
        <w:rPr>
          <w:rStyle w:val="FootnoteReference"/>
          <w:rFonts w:ascii="Cambria" w:hAnsi="Cambria"/>
          <w:sz w:val="20"/>
          <w:szCs w:val="20"/>
        </w:rPr>
        <w:footnoteReference w:id="29"/>
      </w:r>
      <w:r w:rsidR="002020EC">
        <w:rPr>
          <w:rFonts w:asciiTheme="majorHAnsi" w:hAnsiTheme="majorHAnsi"/>
          <w:sz w:val="20"/>
          <w:szCs w:val="20"/>
          <w:lang w:val="es-VE"/>
        </w:rPr>
        <w:t xml:space="preserve">. </w:t>
      </w:r>
      <w:r w:rsidR="002020EC">
        <w:rPr>
          <w:rFonts w:ascii="Cambria" w:hAnsi="Cambria"/>
          <w:sz w:val="20"/>
          <w:szCs w:val="20"/>
          <w:lang w:val="es-ES"/>
        </w:rPr>
        <w:t xml:space="preserve"> </w:t>
      </w:r>
      <w:r w:rsidR="00DB089B" w:rsidRPr="002020EC">
        <w:rPr>
          <w:rFonts w:ascii="Cambria" w:hAnsi="Cambria"/>
          <w:sz w:val="20"/>
          <w:szCs w:val="20"/>
          <w:lang w:val="es-ES"/>
        </w:rPr>
        <w:t>La CIDH ha indicado que la independencia del sistema judicial se ve socavada cuando los jueces provisionales pueden ser destituidos sin expresión de causa</w:t>
      </w:r>
      <w:r w:rsidR="00375DD2">
        <w:rPr>
          <w:rStyle w:val="FootnoteReference"/>
          <w:rFonts w:ascii="Cambria" w:hAnsi="Cambria"/>
          <w:sz w:val="20"/>
          <w:szCs w:val="20"/>
          <w:lang w:val="es-ES"/>
        </w:rPr>
        <w:footnoteReference w:id="30"/>
      </w:r>
      <w:r w:rsidR="00DB089B" w:rsidRPr="002020EC">
        <w:rPr>
          <w:rFonts w:ascii="Cambria" w:hAnsi="Cambria"/>
          <w:sz w:val="20"/>
          <w:szCs w:val="20"/>
          <w:lang w:val="es-ES"/>
        </w:rPr>
        <w:t xml:space="preserve">. </w:t>
      </w:r>
    </w:p>
    <w:p w14:paraId="1FAB079E" w14:textId="77777777" w:rsidR="00AD2CAD" w:rsidRDefault="00AD2CAD"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Verdana"/>
          <w:sz w:val="20"/>
          <w:szCs w:val="20"/>
          <w:lang w:val="es-UY"/>
        </w:rPr>
      </w:pPr>
    </w:p>
    <w:p w14:paraId="7F5007AB" w14:textId="77777777" w:rsidR="00B47170" w:rsidRDefault="00B47170" w:rsidP="00E1446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bdr w:val="none" w:sz="0" w:space="0" w:color="auto"/>
          <w:lang w:val="es-VE"/>
        </w:rPr>
      </w:pPr>
      <w:r>
        <w:rPr>
          <w:rFonts w:ascii="Cambria" w:hAnsi="Cambria" w:cs="Verdana"/>
          <w:sz w:val="20"/>
          <w:szCs w:val="20"/>
          <w:lang w:val="es-UY"/>
        </w:rPr>
        <w:t xml:space="preserve">En suma, aun cuando las </w:t>
      </w:r>
      <w:r w:rsidR="00C0080D">
        <w:rPr>
          <w:rFonts w:ascii="Cambria" w:hAnsi="Cambria" w:cs="Verdana"/>
          <w:sz w:val="20"/>
          <w:szCs w:val="20"/>
          <w:lang w:val="es-UY"/>
        </w:rPr>
        <w:t>“</w:t>
      </w:r>
      <w:r>
        <w:rPr>
          <w:rFonts w:ascii="Cambria" w:hAnsi="Cambria" w:cs="Verdana"/>
          <w:sz w:val="20"/>
          <w:szCs w:val="20"/>
          <w:lang w:val="es-UY"/>
        </w:rPr>
        <w:t>necesidades del servicio</w:t>
      </w:r>
      <w:r w:rsidR="00C0080D">
        <w:rPr>
          <w:rFonts w:ascii="Cambria" w:hAnsi="Cambria" w:cs="Verdana"/>
          <w:sz w:val="20"/>
          <w:szCs w:val="20"/>
          <w:lang w:val="es-UY"/>
        </w:rPr>
        <w:t>”</w:t>
      </w:r>
      <w:r>
        <w:rPr>
          <w:rFonts w:ascii="Cambria" w:hAnsi="Cambria" w:cs="Verdana"/>
          <w:sz w:val="20"/>
          <w:szCs w:val="20"/>
          <w:lang w:val="es-UY"/>
        </w:rPr>
        <w:t xml:space="preserve"> puedan justificar un nombramiento de un operador u operador</w:t>
      </w:r>
      <w:r w:rsidR="00701303">
        <w:rPr>
          <w:rFonts w:ascii="Cambria" w:hAnsi="Cambria" w:cs="Verdana"/>
          <w:sz w:val="20"/>
          <w:szCs w:val="20"/>
          <w:lang w:val="es-UY"/>
        </w:rPr>
        <w:t>a</w:t>
      </w:r>
      <w:r>
        <w:rPr>
          <w:rFonts w:ascii="Cambria" w:hAnsi="Cambria" w:cs="Verdana"/>
          <w:sz w:val="20"/>
          <w:szCs w:val="20"/>
          <w:lang w:val="es-UY"/>
        </w:rPr>
        <w:t xml:space="preserve"> judicial de manera temporal o para cumplir alguna función específica, dicho periodo o condición debe estar claramente establecida en el acto de nombramiento y también ser parte de la </w:t>
      </w:r>
      <w:r w:rsidRPr="00E14464">
        <w:rPr>
          <w:rFonts w:ascii="Cambria" w:hAnsi="Cambria"/>
          <w:sz w:val="20"/>
          <w:szCs w:val="20"/>
          <w:lang w:val="es-ES_tradnl"/>
        </w:rPr>
        <w:t>motivación</w:t>
      </w:r>
      <w:r>
        <w:rPr>
          <w:rFonts w:ascii="Cambria" w:hAnsi="Cambria" w:cs="Verdana"/>
          <w:sz w:val="20"/>
          <w:szCs w:val="20"/>
          <w:lang w:val="es-UY"/>
        </w:rPr>
        <w:t xml:space="preserve"> del</w:t>
      </w:r>
      <w:r w:rsidR="00701303">
        <w:rPr>
          <w:rFonts w:ascii="Cambria" w:hAnsi="Cambria" w:cs="Verdana"/>
          <w:sz w:val="20"/>
          <w:szCs w:val="20"/>
          <w:lang w:val="es-UY"/>
        </w:rPr>
        <w:t xml:space="preserve"> eventual</w:t>
      </w:r>
      <w:r>
        <w:rPr>
          <w:rFonts w:ascii="Cambria" w:hAnsi="Cambria" w:cs="Verdana"/>
          <w:sz w:val="20"/>
          <w:szCs w:val="20"/>
          <w:lang w:val="es-UY"/>
        </w:rPr>
        <w:t xml:space="preserve"> acto de separación. Sólo de esta manera se protege la independencia de la función judicial</w:t>
      </w:r>
      <w:r w:rsidR="00701303">
        <w:rPr>
          <w:rFonts w:ascii="Cambria" w:hAnsi="Cambria" w:cs="Verdana"/>
          <w:sz w:val="20"/>
          <w:szCs w:val="20"/>
          <w:lang w:val="es-UY"/>
        </w:rPr>
        <w:t xml:space="preserve"> y se evita que la provisionalidad de los operadores sea utilizada arbitrariamente para socavar dicha independencia.</w:t>
      </w:r>
      <w:r>
        <w:rPr>
          <w:rFonts w:ascii="Cambria" w:hAnsi="Cambria" w:cs="Verdana"/>
          <w:sz w:val="20"/>
          <w:szCs w:val="20"/>
          <w:lang w:val="es-UY"/>
        </w:rPr>
        <w:t xml:space="preserve">  </w:t>
      </w:r>
    </w:p>
    <w:p w14:paraId="3C433211" w14:textId="77777777" w:rsidR="00B47170" w:rsidRDefault="00B47170"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bdr w:val="none" w:sz="0" w:space="0" w:color="auto"/>
          <w:lang w:val="es-VE"/>
        </w:rPr>
      </w:pPr>
    </w:p>
    <w:p w14:paraId="78E49542" w14:textId="77777777" w:rsidR="000B6F66" w:rsidRPr="00AC446B" w:rsidRDefault="00F67785" w:rsidP="008F24C0">
      <w:pPr>
        <w:pStyle w:val="Heading3"/>
        <w:numPr>
          <w:ilvl w:val="1"/>
          <w:numId w:val="62"/>
        </w:numPr>
        <w:spacing w:before="0" w:after="0"/>
        <w:ind w:left="1440" w:hanging="720"/>
        <w:jc w:val="both"/>
        <w:rPr>
          <w:rFonts w:ascii="Cambria" w:hAnsi="Cambria"/>
          <w:sz w:val="20"/>
          <w:szCs w:val="20"/>
          <w:lang w:val="es-ES_tradnl"/>
        </w:rPr>
      </w:pPr>
      <w:bookmarkStart w:id="17" w:name="_Toc521483543"/>
      <w:r>
        <w:rPr>
          <w:rFonts w:ascii="Cambria" w:hAnsi="Cambria"/>
          <w:sz w:val="20"/>
          <w:szCs w:val="20"/>
          <w:lang w:val="es-ES_tradnl"/>
        </w:rPr>
        <w:t xml:space="preserve">Consideraciones generales sobre la </w:t>
      </w:r>
      <w:r w:rsidR="0096599C">
        <w:rPr>
          <w:rFonts w:ascii="Cambria" w:hAnsi="Cambria"/>
          <w:sz w:val="20"/>
          <w:szCs w:val="20"/>
          <w:lang w:val="es-ES_tradnl"/>
        </w:rPr>
        <w:t>estabilidad reforzada de fiscales</w:t>
      </w:r>
      <w:bookmarkEnd w:id="17"/>
      <w:r w:rsidR="0096599C">
        <w:rPr>
          <w:rFonts w:ascii="Cambria" w:hAnsi="Cambria"/>
          <w:sz w:val="20"/>
          <w:szCs w:val="20"/>
          <w:lang w:val="es-ES_tradnl"/>
        </w:rPr>
        <w:t xml:space="preserve"> </w:t>
      </w:r>
    </w:p>
    <w:p w14:paraId="743EF212" w14:textId="77777777" w:rsidR="000B6F66" w:rsidRDefault="000B6F66"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bdr w:val="none" w:sz="0" w:space="0" w:color="auto"/>
          <w:lang w:val="es-VE"/>
        </w:rPr>
      </w:pPr>
    </w:p>
    <w:p w14:paraId="2DD9885D" w14:textId="77777777" w:rsidR="00F64E35" w:rsidRDefault="00F64E35"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E4697">
        <w:rPr>
          <w:rFonts w:ascii="Cambria" w:hAnsi="Cambria"/>
          <w:sz w:val="20"/>
          <w:szCs w:val="20"/>
          <w:lang w:val="es-ES_tradnl"/>
        </w:rPr>
        <w:t>La Comisión estima que el principio de estabilidad</w:t>
      </w:r>
      <w:r>
        <w:rPr>
          <w:rFonts w:ascii="Cambria" w:hAnsi="Cambria"/>
          <w:sz w:val="20"/>
          <w:szCs w:val="20"/>
          <w:lang w:val="es-ES_tradnl"/>
        </w:rPr>
        <w:t xml:space="preserve"> reforzada</w:t>
      </w:r>
      <w:r w:rsidRPr="001E4697">
        <w:rPr>
          <w:rFonts w:ascii="Cambria" w:hAnsi="Cambria"/>
          <w:sz w:val="20"/>
          <w:szCs w:val="20"/>
          <w:lang w:val="es-ES_tradnl"/>
        </w:rPr>
        <w:t xml:space="preserve"> de jueces y juezas </w:t>
      </w:r>
      <w:r>
        <w:rPr>
          <w:rFonts w:ascii="Cambria" w:hAnsi="Cambria"/>
          <w:sz w:val="20"/>
          <w:szCs w:val="20"/>
          <w:lang w:val="es-ES_tradnl"/>
        </w:rPr>
        <w:t xml:space="preserve">resulta también </w:t>
      </w:r>
      <w:r w:rsidRPr="001E4697">
        <w:rPr>
          <w:rFonts w:ascii="Cambria" w:hAnsi="Cambria"/>
          <w:sz w:val="20"/>
          <w:szCs w:val="20"/>
          <w:lang w:val="es-ES_tradnl"/>
        </w:rPr>
        <w:t xml:space="preserve">aplicable a fiscales en la medida en que </w:t>
      </w:r>
      <w:r>
        <w:rPr>
          <w:rFonts w:ascii="Cambria" w:hAnsi="Cambria"/>
          <w:sz w:val="20"/>
          <w:szCs w:val="20"/>
          <w:lang w:val="es-ES_tradnl"/>
        </w:rPr>
        <w:t xml:space="preserve">desempeñan un papel complementario al del juez en la administración de justicia, </w:t>
      </w:r>
      <w:r w:rsidRPr="002C4A8B">
        <w:rPr>
          <w:rFonts w:ascii="Cambria" w:hAnsi="Cambria"/>
          <w:sz w:val="20"/>
          <w:szCs w:val="20"/>
          <w:lang w:val="es-ES_tradnl"/>
        </w:rPr>
        <w:t>al promover procesos penales, investigar delitos, así como el ejercicio de otras funciones de interés p</w:t>
      </w:r>
      <w:r>
        <w:rPr>
          <w:rFonts w:ascii="Cambria" w:hAnsi="Cambria"/>
          <w:sz w:val="20"/>
          <w:szCs w:val="20"/>
          <w:lang w:val="es-ES_tradnl"/>
        </w:rPr>
        <w:t>úblico, lo cual en ausencia de garantías suficientes puede favorecer que sean objeto de presiones internas y externas con respecto a las decisiones que toman</w:t>
      </w:r>
      <w:r w:rsidRPr="004C3824">
        <w:rPr>
          <w:rStyle w:val="FootnoteReference"/>
          <w:rFonts w:asciiTheme="majorHAnsi" w:hAnsiTheme="majorHAnsi"/>
          <w:sz w:val="20"/>
          <w:szCs w:val="20"/>
          <w:lang w:val="es-ES_tradnl"/>
        </w:rPr>
        <w:footnoteReference w:id="31"/>
      </w:r>
      <w:r>
        <w:rPr>
          <w:rFonts w:ascii="Cambria" w:hAnsi="Cambria"/>
          <w:sz w:val="20"/>
          <w:szCs w:val="20"/>
          <w:lang w:val="es-ES_tradnl"/>
        </w:rPr>
        <w:t xml:space="preserve">. </w:t>
      </w:r>
    </w:p>
    <w:p w14:paraId="0D5119F3" w14:textId="77777777" w:rsidR="00F64E35" w:rsidRDefault="00F64E35"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14:paraId="7B5D41A9" w14:textId="77777777" w:rsidR="00F64E35" w:rsidRDefault="00F64E35"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 xml:space="preserve">Al respecto las </w:t>
      </w:r>
      <w:r w:rsidR="00BA79E7">
        <w:rPr>
          <w:rFonts w:ascii="Cambria" w:hAnsi="Cambria"/>
          <w:sz w:val="20"/>
          <w:szCs w:val="20"/>
          <w:lang w:val="es-ES_tradnl"/>
        </w:rPr>
        <w:t xml:space="preserve">Directrices de Naciones Unidas </w:t>
      </w:r>
      <w:r>
        <w:rPr>
          <w:rFonts w:ascii="Cambria" w:hAnsi="Cambria"/>
          <w:sz w:val="20"/>
          <w:szCs w:val="20"/>
          <w:lang w:val="es-ES_tradnl"/>
        </w:rPr>
        <w:t>sobre la Función de los Fiscales establecen que “los Estados garantizarán que los fiscales puedan ejercer sus funciones profesionales sin intimidación, trabas, hostigamiento, injerencias indebidas o riesgo injustificado de incurrir en responsabilidad civil, penal o de otra índole”</w:t>
      </w:r>
      <w:r w:rsidRPr="00803F4B">
        <w:rPr>
          <w:rStyle w:val="FootnoteReference"/>
          <w:rFonts w:asciiTheme="majorHAnsi" w:hAnsiTheme="majorHAnsi"/>
          <w:sz w:val="20"/>
          <w:szCs w:val="20"/>
          <w:lang w:val="es-ES_tradnl"/>
        </w:rPr>
        <w:footnoteReference w:id="32"/>
      </w:r>
      <w:r>
        <w:rPr>
          <w:rFonts w:ascii="Cambria" w:hAnsi="Cambria"/>
          <w:sz w:val="20"/>
          <w:szCs w:val="20"/>
          <w:lang w:val="es-ES_tradnl"/>
        </w:rPr>
        <w:t xml:space="preserve">. </w:t>
      </w:r>
    </w:p>
    <w:p w14:paraId="43ACEE0D" w14:textId="77777777" w:rsidR="00F64E35" w:rsidRDefault="00F64E35"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14:paraId="5C3533B9" w14:textId="77777777" w:rsidR="00F64E35" w:rsidRDefault="00F64E35"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Asimismo, la Declaración de Burdeos sobre los jueces y fiscales en una sociedad democrática establece que:</w:t>
      </w:r>
    </w:p>
    <w:p w14:paraId="000E3998" w14:textId="77777777" w:rsidR="00F64E35" w:rsidRPr="00C053E3" w:rsidRDefault="00F64E35"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3CC43996" w14:textId="77777777" w:rsidR="00F64E35" w:rsidRDefault="00BA79E7" w:rsidP="00C252E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920"/>
        </w:tabs>
        <w:ind w:left="720" w:right="900"/>
        <w:jc w:val="both"/>
        <w:rPr>
          <w:rFonts w:ascii="Cambria" w:hAnsi="Cambria"/>
          <w:sz w:val="20"/>
          <w:szCs w:val="20"/>
          <w:lang w:val="es-ES_tradnl"/>
        </w:rPr>
      </w:pPr>
      <w:r>
        <w:rPr>
          <w:rFonts w:ascii="Cambria" w:hAnsi="Cambria"/>
          <w:sz w:val="20"/>
          <w:szCs w:val="20"/>
          <w:lang w:val="es-ES_tradnl"/>
        </w:rPr>
        <w:t>La independencia del Ministerio P</w:t>
      </w:r>
      <w:r w:rsidR="00F64E35" w:rsidRPr="00026CC4">
        <w:rPr>
          <w:rFonts w:ascii="Cambria" w:hAnsi="Cambria"/>
          <w:sz w:val="20"/>
          <w:szCs w:val="20"/>
          <w:lang w:val="es-ES_tradnl"/>
        </w:rPr>
        <w:t>úblico constituye un corolario imprescindible de la independencia del poder ju</w:t>
      </w:r>
      <w:r>
        <w:rPr>
          <w:rFonts w:ascii="Cambria" w:hAnsi="Cambria"/>
          <w:sz w:val="20"/>
          <w:szCs w:val="20"/>
          <w:lang w:val="es-ES_tradnl"/>
        </w:rPr>
        <w:t>dicial (…)</w:t>
      </w:r>
      <w:r w:rsidR="00CD4EEA">
        <w:rPr>
          <w:rFonts w:ascii="Cambria" w:hAnsi="Cambria"/>
          <w:sz w:val="20"/>
          <w:szCs w:val="20"/>
          <w:lang w:val="es-ES_tradnl"/>
        </w:rPr>
        <w:t xml:space="preserve"> </w:t>
      </w:r>
      <w:r>
        <w:rPr>
          <w:rFonts w:ascii="Cambria" w:hAnsi="Cambria"/>
          <w:sz w:val="20"/>
          <w:szCs w:val="20"/>
          <w:lang w:val="es-ES_tradnl"/>
        </w:rPr>
        <w:t>La independencia del Ministerio P</w:t>
      </w:r>
      <w:r w:rsidR="00F64E35" w:rsidRPr="00026CC4">
        <w:rPr>
          <w:rFonts w:ascii="Cambria" w:hAnsi="Cambria"/>
          <w:sz w:val="20"/>
          <w:szCs w:val="20"/>
          <w:lang w:val="es-ES_tradnl"/>
        </w:rPr>
        <w:t xml:space="preserve">úblico, es imprescindible para permitirle cumplir su misión (…) A semejanza de la independencia que es propia de los jueces, la independencia que debe reconocerse al ministerio público, no constituye una prerrogativa o un privilegio concedido en interés de sus miembros, sino una garantía para una justicia equitativa, imparcial y eficaz que protege los intereses públicos y privados de los personas afectadas. </w:t>
      </w:r>
    </w:p>
    <w:p w14:paraId="4EE20044" w14:textId="77777777" w:rsidR="00F64E35" w:rsidRDefault="00F64E35" w:rsidP="00C252E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920"/>
        </w:tabs>
        <w:ind w:left="720" w:right="900"/>
        <w:jc w:val="both"/>
        <w:rPr>
          <w:rFonts w:ascii="Cambria" w:hAnsi="Cambria"/>
          <w:sz w:val="20"/>
          <w:szCs w:val="20"/>
          <w:lang w:val="es-ES_tradnl"/>
        </w:rPr>
      </w:pPr>
    </w:p>
    <w:p w14:paraId="4F3110D6" w14:textId="77777777" w:rsidR="00F64E35" w:rsidRDefault="00F64E35" w:rsidP="00C252E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920"/>
        </w:tabs>
        <w:ind w:left="720" w:right="900"/>
        <w:jc w:val="both"/>
        <w:rPr>
          <w:rFonts w:ascii="Cambria" w:hAnsi="Cambria"/>
          <w:sz w:val="20"/>
          <w:szCs w:val="20"/>
          <w:lang w:val="es-ES_tradnl"/>
        </w:rPr>
      </w:pPr>
      <w:r>
        <w:rPr>
          <w:rFonts w:ascii="Cambria" w:hAnsi="Cambria"/>
          <w:sz w:val="20"/>
          <w:szCs w:val="20"/>
          <w:lang w:val="es-ES_tradnl"/>
        </w:rPr>
        <w:t>(…)</w:t>
      </w:r>
      <w:r w:rsidR="00F12419">
        <w:rPr>
          <w:rFonts w:ascii="Cambria" w:hAnsi="Cambria"/>
          <w:sz w:val="20"/>
          <w:szCs w:val="20"/>
          <w:lang w:val="es-ES_tradnl"/>
        </w:rPr>
        <w:t xml:space="preserve"> </w:t>
      </w:r>
      <w:r>
        <w:rPr>
          <w:rFonts w:ascii="Cambria" w:hAnsi="Cambria"/>
          <w:sz w:val="20"/>
          <w:szCs w:val="20"/>
          <w:lang w:val="es-ES_tradnl"/>
        </w:rPr>
        <w:t>la proximidad y complementariedad de las misiones del juez y del fiscal, imponen exigencias y garantías parecidas en el ámbito del estatuto y de las condiciones de empleo, en particular en lo relativo a la selección inicial, la formación, el desarrollo de la carrera, la disciplina, el traslado, la remuneración, el cese de funciones y la libertad de crear asociaciones profesionales</w:t>
      </w:r>
      <w:r w:rsidRPr="00FB0223">
        <w:rPr>
          <w:rStyle w:val="FootnoteReference"/>
          <w:rFonts w:asciiTheme="majorHAnsi" w:hAnsiTheme="majorHAnsi"/>
          <w:sz w:val="20"/>
          <w:szCs w:val="20"/>
          <w:lang w:val="es-ES_tradnl"/>
        </w:rPr>
        <w:footnoteReference w:id="33"/>
      </w:r>
      <w:r>
        <w:rPr>
          <w:rFonts w:ascii="Cambria" w:hAnsi="Cambria"/>
          <w:sz w:val="20"/>
          <w:szCs w:val="20"/>
          <w:lang w:val="es-ES_tradnl"/>
        </w:rPr>
        <w:t xml:space="preserve">. </w:t>
      </w:r>
    </w:p>
    <w:p w14:paraId="285FBD4E" w14:textId="77777777" w:rsidR="00F64E35" w:rsidRDefault="00F64E35"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14:paraId="7BEE31D3" w14:textId="77777777" w:rsidR="00F64E35" w:rsidRDefault="00F64E35"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_tradnl"/>
        </w:rPr>
      </w:pPr>
      <w:r w:rsidRPr="00586C36">
        <w:rPr>
          <w:rFonts w:asciiTheme="majorHAnsi" w:hAnsiTheme="majorHAnsi"/>
          <w:sz w:val="20"/>
          <w:szCs w:val="20"/>
          <w:lang w:val="es-ES_tradnl"/>
        </w:rPr>
        <w:t xml:space="preserve">También, el Consejo Consultivo de Fiscales Europeos del </w:t>
      </w:r>
      <w:r w:rsidR="00F2781A">
        <w:rPr>
          <w:rFonts w:asciiTheme="majorHAnsi" w:hAnsiTheme="majorHAnsi"/>
          <w:sz w:val="20"/>
          <w:szCs w:val="20"/>
          <w:lang w:val="es-ES_tradnl"/>
        </w:rPr>
        <w:t>Consejo de Europa indicó en su O</w:t>
      </w:r>
      <w:r w:rsidRPr="00586C36">
        <w:rPr>
          <w:rFonts w:asciiTheme="majorHAnsi" w:hAnsiTheme="majorHAnsi"/>
          <w:sz w:val="20"/>
          <w:szCs w:val="20"/>
          <w:lang w:val="es-ES_tradnl"/>
        </w:rPr>
        <w:t xml:space="preserve">pinión no. 9 que: </w:t>
      </w:r>
    </w:p>
    <w:p w14:paraId="7BFA5958" w14:textId="77777777" w:rsidR="00F64E35" w:rsidRDefault="00F64E35"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_tradnl"/>
        </w:rPr>
      </w:pPr>
    </w:p>
    <w:p w14:paraId="4E42822C" w14:textId="77777777" w:rsidR="00F64E35" w:rsidRPr="00586C36" w:rsidRDefault="00F64E35" w:rsidP="00C252E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460"/>
        </w:tabs>
        <w:ind w:left="720" w:right="900"/>
        <w:jc w:val="both"/>
        <w:rPr>
          <w:rFonts w:asciiTheme="majorHAnsi" w:hAnsiTheme="majorHAnsi"/>
          <w:sz w:val="20"/>
          <w:szCs w:val="20"/>
          <w:lang w:val="es-ES_tradnl"/>
        </w:rPr>
      </w:pPr>
      <w:r w:rsidRPr="00586C36">
        <w:rPr>
          <w:rFonts w:asciiTheme="majorHAnsi" w:eastAsia="Times New Roman" w:hAnsiTheme="majorHAnsi" w:cs="Courier New"/>
          <w:sz w:val="20"/>
          <w:szCs w:val="20"/>
          <w:bdr w:val="none" w:sz="0" w:space="0" w:color="auto"/>
          <w:lang w:val="es-ES"/>
        </w:rPr>
        <w:t xml:space="preserve"> la independencia y la autonomía de los servicios de la fiscalía constituyen un corolario indispensable de la independencia del poder judicial. Por lo tanto, debe alentarse la tendencia general a mejorar la independencia y la autonomía efectiva de los servici</w:t>
      </w:r>
      <w:r>
        <w:rPr>
          <w:rFonts w:asciiTheme="majorHAnsi" w:eastAsia="Times New Roman" w:hAnsiTheme="majorHAnsi" w:cs="Courier New"/>
          <w:sz w:val="20"/>
          <w:szCs w:val="20"/>
          <w:bdr w:val="none" w:sz="0" w:space="0" w:color="auto"/>
          <w:lang w:val="es-ES"/>
        </w:rPr>
        <w:t>os de la fiscalía</w:t>
      </w:r>
      <w:r w:rsidRPr="00586C36">
        <w:rPr>
          <w:rFonts w:asciiTheme="majorHAnsi" w:eastAsia="Times New Roman" w:hAnsiTheme="majorHAnsi" w:cs="Courier New"/>
          <w:sz w:val="20"/>
          <w:szCs w:val="20"/>
          <w:bdr w:val="none" w:sz="0" w:space="0" w:color="auto"/>
          <w:lang w:val="es-ES"/>
        </w:rPr>
        <w:t xml:space="preserve"> (…)</w:t>
      </w:r>
    </w:p>
    <w:p w14:paraId="6888BFE7" w14:textId="3F2F1624" w:rsidR="00F64E35" w:rsidRDefault="00F64E35" w:rsidP="00C252E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460"/>
        </w:tabs>
        <w:ind w:left="720" w:right="900"/>
        <w:jc w:val="both"/>
        <w:rPr>
          <w:rFonts w:asciiTheme="majorHAnsi" w:eastAsia="Times New Roman" w:hAnsiTheme="majorHAnsi" w:cs="Courier New"/>
          <w:sz w:val="20"/>
          <w:szCs w:val="20"/>
          <w:bdr w:val="none" w:sz="0" w:space="0" w:color="auto"/>
          <w:lang w:val="es-ES"/>
        </w:rPr>
      </w:pPr>
    </w:p>
    <w:p w14:paraId="6136ECAA" w14:textId="77777777" w:rsidR="00F64E35" w:rsidRDefault="00F64E35" w:rsidP="00C252E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460"/>
        </w:tabs>
        <w:ind w:left="720" w:right="900"/>
        <w:jc w:val="both"/>
        <w:rPr>
          <w:rFonts w:asciiTheme="majorHAnsi" w:hAnsiTheme="majorHAnsi"/>
          <w:sz w:val="20"/>
          <w:szCs w:val="20"/>
          <w:lang w:val="es-ES_tradnl"/>
        </w:rPr>
      </w:pPr>
      <w:r w:rsidRPr="00586C36">
        <w:rPr>
          <w:rFonts w:asciiTheme="majorHAnsi" w:eastAsia="Times New Roman" w:hAnsiTheme="majorHAnsi" w:cs="Courier New"/>
          <w:sz w:val="20"/>
          <w:szCs w:val="20"/>
          <w:bdr w:val="none" w:sz="0" w:space="0" w:color="auto"/>
          <w:lang w:val="es-ES"/>
        </w:rPr>
        <w:t>Los fiscales deberían ser autónomos en la adopción de decisiones y deberían desempeñar sus funciones sin presiones externas ni injerencias, teniendo en cuenta los principios de separación de poderes y responsabilidad</w:t>
      </w:r>
      <w:r w:rsidRPr="00285B87">
        <w:rPr>
          <w:rStyle w:val="FootnoteReference"/>
          <w:rFonts w:asciiTheme="majorHAnsi" w:hAnsiTheme="majorHAnsi" w:cs="Courier New"/>
          <w:sz w:val="20"/>
          <w:szCs w:val="20"/>
          <w:lang w:val="es-ES"/>
        </w:rPr>
        <w:footnoteReference w:id="34"/>
      </w:r>
      <w:r w:rsidRPr="00586C36">
        <w:rPr>
          <w:rFonts w:asciiTheme="majorHAnsi" w:eastAsia="Times New Roman" w:hAnsiTheme="majorHAnsi" w:cs="Courier New"/>
          <w:sz w:val="20"/>
          <w:szCs w:val="20"/>
          <w:bdr w:val="none" w:sz="0" w:space="0" w:color="auto"/>
          <w:lang w:val="es-ES"/>
        </w:rPr>
        <w:t>.</w:t>
      </w:r>
    </w:p>
    <w:p w14:paraId="1322173E" w14:textId="77777777" w:rsidR="00F64E35" w:rsidRPr="00285B87" w:rsidRDefault="00F64E35"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_tradnl"/>
        </w:rPr>
      </w:pPr>
    </w:p>
    <w:p w14:paraId="1DE26511" w14:textId="71A3CBE9" w:rsidR="00DB5E8A" w:rsidRDefault="00F64E35"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 xml:space="preserve">En vista de las anteriores consideraciones, la CIDH estima que </w:t>
      </w:r>
      <w:r w:rsidR="00F87670">
        <w:rPr>
          <w:rFonts w:ascii="Cambria" w:hAnsi="Cambria"/>
          <w:sz w:val="20"/>
          <w:szCs w:val="20"/>
          <w:lang w:val="es-ES_tradnl"/>
        </w:rPr>
        <w:t xml:space="preserve">los estándares citados en la sección anterior resultan aplicables a </w:t>
      </w:r>
      <w:r>
        <w:rPr>
          <w:rFonts w:ascii="Cambria" w:hAnsi="Cambria"/>
          <w:sz w:val="20"/>
          <w:szCs w:val="20"/>
          <w:lang w:val="es-ES_tradnl"/>
        </w:rPr>
        <w:t>los</w:t>
      </w:r>
      <w:r w:rsidR="00F87670">
        <w:rPr>
          <w:rFonts w:ascii="Cambria" w:hAnsi="Cambria"/>
          <w:sz w:val="20"/>
          <w:szCs w:val="20"/>
          <w:lang w:val="es-ES_tradnl"/>
        </w:rPr>
        <w:t xml:space="preserve"> y las</w:t>
      </w:r>
      <w:r>
        <w:rPr>
          <w:rFonts w:ascii="Cambria" w:hAnsi="Cambria"/>
          <w:sz w:val="20"/>
          <w:szCs w:val="20"/>
          <w:lang w:val="es-ES_tradnl"/>
        </w:rPr>
        <w:t xml:space="preserve"> fiscales</w:t>
      </w:r>
      <w:r w:rsidR="00F87670">
        <w:rPr>
          <w:rFonts w:ascii="Cambria" w:hAnsi="Cambria"/>
          <w:sz w:val="20"/>
          <w:szCs w:val="20"/>
          <w:lang w:val="es-ES_tradnl"/>
        </w:rPr>
        <w:t>, quienes por la naturaleza de la función que ejercen, deben</w:t>
      </w:r>
      <w:r>
        <w:rPr>
          <w:rFonts w:ascii="Cambria" w:hAnsi="Cambria"/>
          <w:sz w:val="20"/>
          <w:szCs w:val="20"/>
          <w:lang w:val="es-ES_tradnl"/>
        </w:rPr>
        <w:t xml:space="preserve"> goza</w:t>
      </w:r>
      <w:r w:rsidR="00F87670">
        <w:rPr>
          <w:rFonts w:ascii="Cambria" w:hAnsi="Cambria"/>
          <w:sz w:val="20"/>
          <w:szCs w:val="20"/>
          <w:lang w:val="es-ES_tradnl"/>
        </w:rPr>
        <w:t>r</w:t>
      </w:r>
      <w:r>
        <w:rPr>
          <w:rFonts w:ascii="Cambria" w:hAnsi="Cambria"/>
          <w:sz w:val="20"/>
          <w:szCs w:val="20"/>
          <w:lang w:val="es-ES_tradnl"/>
        </w:rPr>
        <w:t xml:space="preserve"> de estabilidad reforzada en su cargo como una garantía para la independencia en su labor, y solo deben ser sustituidos por incurrir en faltas graves o por cumplirse el plazo o condición establecido en su designación</w:t>
      </w:r>
      <w:r w:rsidR="00F87670">
        <w:rPr>
          <w:rFonts w:ascii="Cambria" w:hAnsi="Cambria"/>
          <w:sz w:val="20"/>
          <w:szCs w:val="20"/>
          <w:lang w:val="es-ES_tradnl"/>
        </w:rPr>
        <w:t xml:space="preserve">, de manera asimilable a los jueces y juezas. Como se indicó en la sección anterior, </w:t>
      </w:r>
      <w:r w:rsidR="003C2784">
        <w:rPr>
          <w:rFonts w:ascii="Cambria" w:hAnsi="Cambria"/>
          <w:sz w:val="20"/>
          <w:szCs w:val="20"/>
          <w:lang w:val="es-ES_tradnl"/>
        </w:rPr>
        <w:t xml:space="preserve">lo </w:t>
      </w:r>
      <w:r w:rsidR="00C252E1">
        <w:rPr>
          <w:rFonts w:ascii="Cambria" w:hAnsi="Cambria"/>
          <w:sz w:val="20"/>
          <w:szCs w:val="20"/>
          <w:lang w:val="es-ES_tradnl"/>
        </w:rPr>
        <w:t xml:space="preserve">previamente indicado </w:t>
      </w:r>
      <w:r w:rsidR="003C2784">
        <w:rPr>
          <w:rFonts w:ascii="Cambria" w:hAnsi="Cambria"/>
          <w:sz w:val="20"/>
          <w:szCs w:val="20"/>
          <w:lang w:val="es-ES_tradnl"/>
        </w:rPr>
        <w:t xml:space="preserve">resulta aplicable a </w:t>
      </w:r>
      <w:r w:rsidR="00C252E1">
        <w:rPr>
          <w:rFonts w:ascii="Cambria" w:hAnsi="Cambria"/>
          <w:sz w:val="20"/>
          <w:szCs w:val="20"/>
          <w:lang w:val="es-ES_tradnl"/>
        </w:rPr>
        <w:t>operadores y operadoras nombrados</w:t>
      </w:r>
      <w:r w:rsidR="003C2784">
        <w:rPr>
          <w:rFonts w:ascii="Cambria" w:hAnsi="Cambria"/>
          <w:sz w:val="20"/>
          <w:szCs w:val="20"/>
          <w:lang w:val="es-ES_tradnl"/>
        </w:rPr>
        <w:t xml:space="preserve"> en provisionalidad, en la medida en que ejercen la misma función</w:t>
      </w:r>
      <w:r w:rsidR="00452956">
        <w:rPr>
          <w:rFonts w:ascii="Cambria" w:hAnsi="Cambria"/>
          <w:sz w:val="20"/>
          <w:szCs w:val="20"/>
          <w:lang w:val="es-ES_tradnl"/>
        </w:rPr>
        <w:t xml:space="preserve"> </w:t>
      </w:r>
      <w:r w:rsidR="003327C4">
        <w:rPr>
          <w:rFonts w:ascii="Cambria" w:hAnsi="Cambria"/>
          <w:sz w:val="20"/>
          <w:szCs w:val="20"/>
          <w:lang w:val="es-ES_tradnl"/>
        </w:rPr>
        <w:t>que las personas titula</w:t>
      </w:r>
      <w:r w:rsidR="00C54302">
        <w:rPr>
          <w:rFonts w:ascii="Cambria" w:hAnsi="Cambria"/>
          <w:sz w:val="20"/>
          <w:szCs w:val="20"/>
          <w:lang w:val="es-ES_tradnl"/>
        </w:rPr>
        <w:t>r</w:t>
      </w:r>
      <w:r w:rsidR="003327C4">
        <w:rPr>
          <w:rFonts w:ascii="Cambria" w:hAnsi="Cambria"/>
          <w:sz w:val="20"/>
          <w:szCs w:val="20"/>
          <w:lang w:val="es-ES_tradnl"/>
        </w:rPr>
        <w:t xml:space="preserve">es </w:t>
      </w:r>
      <w:r w:rsidR="003C2784">
        <w:rPr>
          <w:rFonts w:ascii="Cambria" w:hAnsi="Cambria"/>
          <w:sz w:val="20"/>
          <w:szCs w:val="20"/>
          <w:lang w:val="es-ES_tradnl"/>
        </w:rPr>
        <w:t>y es dicha función la que es materia de protecci</w:t>
      </w:r>
      <w:r w:rsidR="00272AC1">
        <w:rPr>
          <w:rFonts w:ascii="Cambria" w:hAnsi="Cambria"/>
          <w:sz w:val="20"/>
          <w:szCs w:val="20"/>
          <w:lang w:val="es-ES_tradnl"/>
        </w:rPr>
        <w:t xml:space="preserve">ón bajo el principio de independencia judicial. </w:t>
      </w:r>
      <w:bookmarkStart w:id="18" w:name="_Toc516656763"/>
    </w:p>
    <w:p w14:paraId="114BF1DB" w14:textId="77777777" w:rsidR="00DB5E8A" w:rsidRPr="00DB5E8A" w:rsidRDefault="00DB5E8A"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47946DF1" w14:textId="76B84BE9" w:rsidR="009A1FA1" w:rsidRPr="008E003B" w:rsidRDefault="001378AC" w:rsidP="008E003B">
      <w:pPr>
        <w:pStyle w:val="Heading2"/>
        <w:numPr>
          <w:ilvl w:val="0"/>
          <w:numId w:val="62"/>
        </w:numPr>
        <w:spacing w:before="0" w:after="0"/>
        <w:ind w:left="1440" w:hanging="720"/>
        <w:jc w:val="both"/>
        <w:rPr>
          <w:rFonts w:ascii="Cambria" w:hAnsi="Cambria"/>
          <w:i w:val="0"/>
          <w:sz w:val="20"/>
          <w:szCs w:val="20"/>
          <w:lang w:val="es-ES_tradnl"/>
        </w:rPr>
      </w:pPr>
      <w:bookmarkStart w:id="19" w:name="_Toc521483544"/>
      <w:r w:rsidRPr="006B165E">
        <w:rPr>
          <w:rFonts w:ascii="Cambria" w:hAnsi="Cambria"/>
          <w:i w:val="0"/>
          <w:sz w:val="20"/>
          <w:szCs w:val="20"/>
          <w:lang w:val="es-ES_tradnl"/>
        </w:rPr>
        <w:t>Análisis del presente caso</w:t>
      </w:r>
      <w:bookmarkEnd w:id="19"/>
    </w:p>
    <w:p w14:paraId="3E382662" w14:textId="77777777" w:rsidR="008E003B" w:rsidRDefault="008E003B" w:rsidP="009A1FA1">
      <w:pPr>
        <w:pStyle w:val="ListParagraph"/>
        <w:ind w:left="1440"/>
        <w:rPr>
          <w:rFonts w:asciiTheme="majorHAnsi" w:hAnsiTheme="majorHAnsi"/>
          <w:b/>
          <w:sz w:val="20"/>
          <w:szCs w:val="20"/>
          <w:lang w:val="es-ES_tradnl"/>
        </w:rPr>
      </w:pPr>
    </w:p>
    <w:p w14:paraId="31D7C463" w14:textId="1FE2FC29" w:rsidR="008E003B" w:rsidRPr="00AC446B" w:rsidRDefault="00B82998" w:rsidP="008E003B">
      <w:pPr>
        <w:pStyle w:val="Heading3"/>
        <w:numPr>
          <w:ilvl w:val="1"/>
          <w:numId w:val="62"/>
        </w:numPr>
        <w:spacing w:before="0" w:after="0"/>
        <w:ind w:left="1440" w:hanging="720"/>
        <w:jc w:val="both"/>
        <w:rPr>
          <w:rFonts w:ascii="Cambria" w:hAnsi="Cambria"/>
          <w:sz w:val="20"/>
          <w:szCs w:val="20"/>
          <w:lang w:val="es-ES_tradnl"/>
        </w:rPr>
      </w:pPr>
      <w:bookmarkStart w:id="20" w:name="_Toc521483545"/>
      <w:r>
        <w:rPr>
          <w:rFonts w:ascii="Cambria" w:hAnsi="Cambria"/>
          <w:sz w:val="20"/>
          <w:szCs w:val="20"/>
          <w:lang w:val="es-ES_tradnl"/>
        </w:rPr>
        <w:t>En cuanto al derecho a ser oído, el derecho de defensa y el principio de legalidad</w:t>
      </w:r>
      <w:bookmarkEnd w:id="20"/>
      <w:r w:rsidR="008E003B">
        <w:rPr>
          <w:rFonts w:ascii="Cambria" w:hAnsi="Cambria"/>
          <w:sz w:val="20"/>
          <w:szCs w:val="20"/>
          <w:lang w:val="es-ES_tradnl"/>
        </w:rPr>
        <w:t xml:space="preserve"> </w:t>
      </w:r>
    </w:p>
    <w:p w14:paraId="0B25526D" w14:textId="77777777" w:rsidR="008E003B" w:rsidRPr="006F5B95" w:rsidRDefault="008E003B" w:rsidP="009A1FA1">
      <w:pPr>
        <w:pStyle w:val="ListParagraph"/>
        <w:ind w:left="1440"/>
        <w:rPr>
          <w:rFonts w:asciiTheme="majorHAnsi" w:hAnsiTheme="majorHAnsi"/>
          <w:b/>
          <w:sz w:val="20"/>
          <w:szCs w:val="20"/>
          <w:lang w:val="es-ES_tradnl"/>
        </w:rPr>
      </w:pPr>
    </w:p>
    <w:p w14:paraId="244A921D" w14:textId="3081BEB4" w:rsidR="007D0514" w:rsidRDefault="006F119D" w:rsidP="00632B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eastAsia="es-ES"/>
        </w:rPr>
      </w:pPr>
      <w:r>
        <w:rPr>
          <w:rFonts w:ascii="Cambria" w:hAnsi="Cambria"/>
          <w:sz w:val="20"/>
          <w:szCs w:val="20"/>
          <w:lang w:val="es-ES" w:eastAsia="es-ES"/>
        </w:rPr>
        <w:t>En aplicación de lo indicado</w:t>
      </w:r>
      <w:r w:rsidR="00632BA1">
        <w:rPr>
          <w:rFonts w:ascii="Cambria" w:hAnsi="Cambria"/>
          <w:sz w:val="20"/>
          <w:szCs w:val="20"/>
          <w:lang w:val="es-ES" w:eastAsia="es-ES"/>
        </w:rPr>
        <w:t xml:space="preserve">, la Comisión estima que en el presente caso se trató de un proceso de determinación de derechos, </w:t>
      </w:r>
      <w:r w:rsidR="00C252E1">
        <w:rPr>
          <w:rFonts w:ascii="Cambria" w:hAnsi="Cambria"/>
          <w:sz w:val="20"/>
          <w:szCs w:val="20"/>
          <w:lang w:val="es-ES" w:eastAsia="es-ES"/>
        </w:rPr>
        <w:t>en el cual</w:t>
      </w:r>
      <w:r w:rsidR="00632BA1" w:rsidRPr="00C16ECD">
        <w:rPr>
          <w:rFonts w:ascii="Cambria" w:hAnsi="Cambria"/>
          <w:sz w:val="20"/>
          <w:szCs w:val="20"/>
          <w:lang w:val="es-ES" w:eastAsia="es-ES"/>
        </w:rPr>
        <w:t xml:space="preserve"> resultan aplicables</w:t>
      </w:r>
      <w:r w:rsidR="00632BA1">
        <w:rPr>
          <w:rFonts w:ascii="Cambria" w:hAnsi="Cambria"/>
          <w:sz w:val="20"/>
          <w:szCs w:val="20"/>
          <w:lang w:val="es-ES" w:eastAsia="es-ES"/>
        </w:rPr>
        <w:t>, como mínimo,</w:t>
      </w:r>
      <w:r w:rsidR="00632BA1" w:rsidRPr="00C16ECD">
        <w:rPr>
          <w:rFonts w:ascii="Cambria" w:hAnsi="Cambria"/>
          <w:sz w:val="20"/>
          <w:szCs w:val="20"/>
          <w:lang w:val="es-ES" w:eastAsia="es-ES"/>
        </w:rPr>
        <w:t xml:space="preserve"> las debidas garantías establecidas en el artículo 8.1 de la Convención Americana incluyendo el</w:t>
      </w:r>
      <w:r w:rsidR="00632BA1">
        <w:rPr>
          <w:rFonts w:ascii="Cambria" w:hAnsi="Cambria"/>
          <w:sz w:val="20"/>
          <w:szCs w:val="20"/>
          <w:lang w:val="es-ES" w:eastAsia="es-ES"/>
        </w:rPr>
        <w:t xml:space="preserve"> derecho a ser oído y</w:t>
      </w:r>
      <w:r w:rsidR="00632BA1" w:rsidRPr="00C16ECD">
        <w:rPr>
          <w:rFonts w:ascii="Cambria" w:hAnsi="Cambria"/>
          <w:sz w:val="20"/>
          <w:szCs w:val="20"/>
          <w:lang w:val="es-ES" w:eastAsia="es-ES"/>
        </w:rPr>
        <w:t xml:space="preserve"> </w:t>
      </w:r>
      <w:r w:rsidR="00632BA1">
        <w:rPr>
          <w:rFonts w:ascii="Cambria" w:hAnsi="Cambria"/>
          <w:sz w:val="20"/>
          <w:szCs w:val="20"/>
          <w:lang w:val="es-ES" w:eastAsia="es-ES"/>
        </w:rPr>
        <w:t xml:space="preserve">el </w:t>
      </w:r>
      <w:r w:rsidR="00632BA1" w:rsidRPr="00C16ECD">
        <w:rPr>
          <w:rFonts w:ascii="Cambria" w:hAnsi="Cambria"/>
          <w:sz w:val="20"/>
          <w:szCs w:val="20"/>
          <w:lang w:val="es-ES" w:eastAsia="es-ES"/>
        </w:rPr>
        <w:t xml:space="preserve">deber de motivación. </w:t>
      </w:r>
      <w:r w:rsidR="002A3241">
        <w:rPr>
          <w:rFonts w:ascii="Cambria" w:hAnsi="Cambria"/>
          <w:sz w:val="20"/>
          <w:szCs w:val="20"/>
          <w:lang w:val="es-ES" w:eastAsia="es-ES"/>
        </w:rPr>
        <w:t xml:space="preserve">Además, por las razones que se exponen, la Comisión considera que el caso también debe ser analizado a la luz de las garantías aplicables de los artículo 8.2 y 9 de la Convención. </w:t>
      </w:r>
    </w:p>
    <w:p w14:paraId="049570B8" w14:textId="77777777" w:rsidR="008E003B" w:rsidRDefault="008E003B" w:rsidP="008E003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eastAsia="es-ES"/>
        </w:rPr>
      </w:pPr>
    </w:p>
    <w:p w14:paraId="5BD43B06" w14:textId="26AD6C69" w:rsidR="004350B6" w:rsidRDefault="005D44B9"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T</w:t>
      </w:r>
      <w:r w:rsidR="00E46B10">
        <w:rPr>
          <w:rFonts w:ascii="Cambria" w:hAnsi="Cambria"/>
          <w:sz w:val="20"/>
          <w:szCs w:val="20"/>
          <w:lang w:val="es-ES_tradnl"/>
        </w:rPr>
        <w:t>al como indicó en la sección de determinaciones de hecho, la CIDH recuerda que la presunta víctima fue nombrada en 1998 como Fiscal Adjunto Provincial Provisional de la Fiscalía Provincial Mixta de la Mar</w:t>
      </w:r>
      <w:r w:rsidR="00C252E1">
        <w:rPr>
          <w:rFonts w:ascii="Cambria" w:hAnsi="Cambria"/>
          <w:sz w:val="20"/>
          <w:szCs w:val="20"/>
          <w:lang w:val="es-ES_tradnl"/>
        </w:rPr>
        <w:t>-Ayacucho, cargo que desempeñó</w:t>
      </w:r>
      <w:r w:rsidR="00972FB6">
        <w:rPr>
          <w:rFonts w:ascii="Cambria" w:hAnsi="Cambria"/>
          <w:sz w:val="20"/>
          <w:szCs w:val="20"/>
          <w:lang w:val="es-ES_tradnl"/>
        </w:rPr>
        <w:t xml:space="preserve"> por cinco años consecutivos. </w:t>
      </w:r>
      <w:r w:rsidR="004350B6" w:rsidRPr="00972FB6">
        <w:rPr>
          <w:rFonts w:ascii="Cambria" w:hAnsi="Cambria"/>
          <w:sz w:val="20"/>
          <w:szCs w:val="20"/>
          <w:lang w:val="es-ES_tradnl"/>
        </w:rPr>
        <w:t>Asimismo el 8 de abril de 2002 fue nombrado “por necesidad de servicio” como Fiscal Adjunto Provincial Provisional del Distrito Judicial de Ayacucho. El 21 de enero de 2003 la Fiscalía de la Nación dio por terminado su nombramiento, considerando que “el nombramiento de los fiscales en calidad de provisionales es de carácter temporal, sujeto a las necesidades del servicio”.</w:t>
      </w:r>
    </w:p>
    <w:p w14:paraId="77E942DF" w14:textId="77777777" w:rsidR="0068028B" w:rsidRPr="00972FB6" w:rsidRDefault="0068028B" w:rsidP="00210A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4AB76237" w14:textId="77777777" w:rsidR="009C60FE" w:rsidRPr="00BA3AFF" w:rsidRDefault="004350B6"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 xml:space="preserve"> </w:t>
      </w:r>
      <w:r w:rsidR="001D686C">
        <w:rPr>
          <w:rFonts w:ascii="Cambria" w:hAnsi="Cambria"/>
          <w:sz w:val="20"/>
          <w:szCs w:val="20"/>
          <w:lang w:val="es-ES_tradnl"/>
        </w:rPr>
        <w:t>La Comisión observa que el nombramiento de la presunta víctima no tenía un plazo o condición sino únicamente una justificación para el nombramiento, por necesidad de servicio, cuestión</w:t>
      </w:r>
      <w:r w:rsidR="001D686C" w:rsidRPr="00BA3AFF">
        <w:rPr>
          <w:rFonts w:ascii="Cambria" w:hAnsi="Cambria"/>
          <w:sz w:val="20"/>
          <w:szCs w:val="20"/>
          <w:lang w:val="es-ES_tradnl"/>
        </w:rPr>
        <w:t xml:space="preserve"> que se mencionó también al</w:t>
      </w:r>
      <w:r w:rsidR="000B2631">
        <w:rPr>
          <w:rFonts w:ascii="Cambria" w:hAnsi="Cambria"/>
          <w:sz w:val="20"/>
          <w:szCs w:val="20"/>
          <w:lang w:val="es-ES_tradnl"/>
        </w:rPr>
        <w:t xml:space="preserve"> momento de</w:t>
      </w:r>
      <w:r w:rsidR="001D686C" w:rsidRPr="00BA3AFF">
        <w:rPr>
          <w:rFonts w:ascii="Cambria" w:hAnsi="Cambria"/>
          <w:sz w:val="20"/>
          <w:szCs w:val="20"/>
          <w:lang w:val="es-ES_tradnl"/>
        </w:rPr>
        <w:t xml:space="preserve"> cesarlo en el cargo.</w:t>
      </w:r>
    </w:p>
    <w:p w14:paraId="783FC5E6" w14:textId="77777777" w:rsidR="009C60FE" w:rsidRDefault="009C60FE" w:rsidP="00FE05A0">
      <w:pPr>
        <w:pStyle w:val="ListParagraph"/>
        <w:rPr>
          <w:sz w:val="20"/>
          <w:szCs w:val="20"/>
          <w:lang w:val="es-ES_tradnl"/>
        </w:rPr>
      </w:pPr>
    </w:p>
    <w:p w14:paraId="4197F44D" w14:textId="77777777" w:rsidR="00E46B10" w:rsidRDefault="001D686C"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 xml:space="preserve"> El Estado indicó que la presunta víctima desempeñaba un cargo de confianza, temporal, </w:t>
      </w:r>
      <w:r w:rsidR="00CB2838">
        <w:rPr>
          <w:rFonts w:ascii="Cambria" w:hAnsi="Cambria"/>
          <w:sz w:val="20"/>
          <w:szCs w:val="20"/>
          <w:lang w:val="es-ES_tradnl"/>
        </w:rPr>
        <w:t>que no genera más derechos que los que le son inherentes, y que los fiscales provision</w:t>
      </w:r>
      <w:r w:rsidR="00165FF0">
        <w:rPr>
          <w:rFonts w:ascii="Cambria" w:hAnsi="Cambria"/>
          <w:sz w:val="20"/>
          <w:szCs w:val="20"/>
          <w:lang w:val="es-ES_tradnl"/>
        </w:rPr>
        <w:t>al</w:t>
      </w:r>
      <w:r w:rsidR="00CB2838">
        <w:rPr>
          <w:rFonts w:ascii="Cambria" w:hAnsi="Cambria"/>
          <w:sz w:val="20"/>
          <w:szCs w:val="20"/>
          <w:lang w:val="es-ES_tradnl"/>
        </w:rPr>
        <w:t xml:space="preserve">es y titulares no tienen los mismos derechos ni se le aplican los mismos procedimientos, por lo que no podía ser exigible la aplicación de procedimientos como el de destitución. </w:t>
      </w:r>
      <w:r w:rsidR="00BA3AFF">
        <w:rPr>
          <w:rFonts w:ascii="Cambria" w:hAnsi="Cambria"/>
          <w:sz w:val="20"/>
          <w:szCs w:val="20"/>
          <w:lang w:val="es-ES_tradnl"/>
        </w:rPr>
        <w:t xml:space="preserve">Además refirió que dentro del ordenamiento peruano no existe un procedimiento de destitución aplicable a fiscales adjuntos provisionales. </w:t>
      </w:r>
    </w:p>
    <w:p w14:paraId="7D840F9A" w14:textId="77777777" w:rsidR="00BA3AFF" w:rsidRDefault="00BA3AFF" w:rsidP="00FE05A0">
      <w:pPr>
        <w:pStyle w:val="ListParagraph"/>
        <w:rPr>
          <w:sz w:val="20"/>
          <w:szCs w:val="20"/>
          <w:lang w:val="es-ES_tradnl"/>
        </w:rPr>
      </w:pPr>
    </w:p>
    <w:p w14:paraId="0D0E43F8" w14:textId="361FCF5E" w:rsidR="00AA08F2" w:rsidRDefault="00AA08F2"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 xml:space="preserve">La Comisión destaca que la asimilación de fiscales provisionales a “cargos de confianza”, como ocurrió con la presunta víctima, permite su libre remoción, lo cual afecta la independencia que se les debe garantizar, por cuanto los hace vulnerables a ser removidos en razón de las decisiones que adopten o en virtud de decisiones arbitrarias de los entes administrativos o judiciales. </w:t>
      </w:r>
    </w:p>
    <w:p w14:paraId="6624CA6A" w14:textId="77777777" w:rsidR="00C252E1" w:rsidRPr="008E003B" w:rsidRDefault="00C252E1" w:rsidP="00C252E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0EB0DD69" w14:textId="3BF535A5" w:rsidR="008E003B" w:rsidRDefault="00BA3AFF" w:rsidP="008E00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B0EF4">
        <w:rPr>
          <w:rFonts w:ascii="Cambria" w:hAnsi="Cambria"/>
          <w:sz w:val="20"/>
          <w:szCs w:val="20"/>
          <w:lang w:val="es-ES_tradnl"/>
        </w:rPr>
        <w:t xml:space="preserve">La CIDH </w:t>
      </w:r>
      <w:r w:rsidR="00A955A4">
        <w:rPr>
          <w:rFonts w:ascii="Cambria" w:hAnsi="Cambria"/>
          <w:sz w:val="20"/>
          <w:szCs w:val="20"/>
          <w:lang w:val="es-ES_tradnl"/>
        </w:rPr>
        <w:t>reitera,</w:t>
      </w:r>
      <w:r w:rsidR="00A955A4" w:rsidRPr="001B0EF4" w:rsidDel="00A955A4">
        <w:rPr>
          <w:rFonts w:ascii="Cambria" w:hAnsi="Cambria"/>
          <w:sz w:val="20"/>
          <w:szCs w:val="20"/>
          <w:lang w:val="es-ES_tradnl"/>
        </w:rPr>
        <w:t xml:space="preserve"> </w:t>
      </w:r>
      <w:r w:rsidRPr="001B0EF4">
        <w:rPr>
          <w:rFonts w:ascii="Cambria" w:hAnsi="Cambria"/>
          <w:sz w:val="20"/>
          <w:szCs w:val="20"/>
          <w:lang w:val="es-ES_tradnl"/>
        </w:rPr>
        <w:t xml:space="preserve"> tomando en cuen</w:t>
      </w:r>
      <w:r w:rsidR="009602B8" w:rsidRPr="001B0EF4">
        <w:rPr>
          <w:rFonts w:ascii="Cambria" w:hAnsi="Cambria"/>
          <w:sz w:val="20"/>
          <w:szCs w:val="20"/>
          <w:lang w:val="es-ES_tradnl"/>
        </w:rPr>
        <w:t>ta lo indicado en la sección anterior</w:t>
      </w:r>
      <w:r w:rsidR="00BB579A">
        <w:rPr>
          <w:rFonts w:ascii="Cambria" w:hAnsi="Cambria"/>
          <w:sz w:val="20"/>
          <w:szCs w:val="20"/>
          <w:lang w:val="es-ES_tradnl"/>
        </w:rPr>
        <w:t xml:space="preserve"> sobre la naturaleza de la función que ejercen,</w:t>
      </w:r>
      <w:r w:rsidR="009602B8" w:rsidRPr="001B0EF4">
        <w:rPr>
          <w:rFonts w:ascii="Cambria" w:hAnsi="Cambria"/>
          <w:sz w:val="20"/>
          <w:szCs w:val="20"/>
          <w:lang w:val="es-ES_tradnl"/>
        </w:rPr>
        <w:t xml:space="preserve"> que los fiscales deben contar con garantías de estabilidad reforzada y únicamente deben ser </w:t>
      </w:r>
      <w:r w:rsidR="00CB651C">
        <w:rPr>
          <w:rFonts w:ascii="Cambria" w:hAnsi="Cambria"/>
          <w:sz w:val="20"/>
          <w:szCs w:val="20"/>
          <w:lang w:val="es-ES_tradnl"/>
        </w:rPr>
        <w:t xml:space="preserve"> separados de sus cargos </w:t>
      </w:r>
      <w:r w:rsidR="009602B8" w:rsidRPr="001B0EF4">
        <w:rPr>
          <w:rFonts w:ascii="Cambria" w:hAnsi="Cambria"/>
          <w:sz w:val="20"/>
          <w:szCs w:val="20"/>
          <w:lang w:val="es-ES_tradnl"/>
        </w:rPr>
        <w:t>por incurrir en</w:t>
      </w:r>
      <w:r w:rsidR="00E776AA">
        <w:rPr>
          <w:rFonts w:ascii="Cambria" w:hAnsi="Cambria"/>
          <w:sz w:val="20"/>
          <w:szCs w:val="20"/>
          <w:lang w:val="es-ES_tradnl"/>
        </w:rPr>
        <w:t xml:space="preserve"> graves causales disciplinarias o </w:t>
      </w:r>
      <w:r w:rsidR="009602B8" w:rsidRPr="001B0EF4">
        <w:rPr>
          <w:rFonts w:ascii="Cambria" w:hAnsi="Cambria"/>
          <w:sz w:val="20"/>
          <w:szCs w:val="20"/>
          <w:lang w:val="es-ES_tradnl"/>
        </w:rPr>
        <w:t xml:space="preserve">por cumplirse el plazo o condición establecida en su designación. En esta línea, </w:t>
      </w:r>
      <w:r w:rsidR="00BC14CC">
        <w:rPr>
          <w:rFonts w:ascii="Cambria" w:hAnsi="Cambria"/>
          <w:sz w:val="20"/>
          <w:szCs w:val="20"/>
          <w:lang w:val="es-ES_tradnl"/>
        </w:rPr>
        <w:t xml:space="preserve">la Comisión considera </w:t>
      </w:r>
      <w:r w:rsidR="009602B8" w:rsidRPr="001B0EF4">
        <w:rPr>
          <w:rFonts w:ascii="Cambria" w:hAnsi="Cambria"/>
          <w:sz w:val="20"/>
          <w:szCs w:val="20"/>
          <w:lang w:val="es-ES_tradnl"/>
        </w:rPr>
        <w:t>que en el presente caso resultó incompatible con la Convención, el nombramiento de la presunta víctima sin ningún plazo o condición, limitada a</w:t>
      </w:r>
      <w:r w:rsidR="008A087E">
        <w:rPr>
          <w:rFonts w:ascii="Cambria" w:hAnsi="Cambria"/>
          <w:sz w:val="20"/>
          <w:szCs w:val="20"/>
          <w:lang w:val="es-ES_tradnl"/>
        </w:rPr>
        <w:t xml:space="preserve"> una invocación genérica de las</w:t>
      </w:r>
      <w:r w:rsidR="009602B8" w:rsidRPr="001B0EF4">
        <w:rPr>
          <w:rFonts w:ascii="Cambria" w:hAnsi="Cambria"/>
          <w:sz w:val="20"/>
          <w:szCs w:val="20"/>
          <w:lang w:val="es-ES_tradnl"/>
        </w:rPr>
        <w:t xml:space="preserve"> “necesidades de servicio”</w:t>
      </w:r>
      <w:r w:rsidR="006C4831">
        <w:rPr>
          <w:rFonts w:ascii="Cambria" w:hAnsi="Cambria"/>
          <w:sz w:val="20"/>
          <w:szCs w:val="20"/>
          <w:lang w:val="es-ES_tradnl"/>
        </w:rPr>
        <w:t>.</w:t>
      </w:r>
      <w:r w:rsidR="00775F43">
        <w:rPr>
          <w:rFonts w:ascii="Cambria" w:hAnsi="Cambria"/>
          <w:sz w:val="20"/>
          <w:szCs w:val="20"/>
          <w:lang w:val="es-ES_tradnl"/>
        </w:rPr>
        <w:t xml:space="preserve"> </w:t>
      </w:r>
    </w:p>
    <w:p w14:paraId="4917C0B3" w14:textId="77777777" w:rsidR="008E003B" w:rsidRPr="008E003B" w:rsidRDefault="008E003B" w:rsidP="008E003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14:paraId="15D7BF52" w14:textId="36CB67A4" w:rsidR="00185737" w:rsidRDefault="00775F43"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E003B">
        <w:rPr>
          <w:rFonts w:ascii="Cambria" w:hAnsi="Cambria"/>
          <w:sz w:val="20"/>
          <w:szCs w:val="20"/>
          <w:lang w:val="es-ES_tradnl"/>
        </w:rPr>
        <w:t>En este escenario, en el cual el Estado no ha logrado demostrar que la situación de provisionalidad de la presunta víctima por cinco años consecutivos ten</w:t>
      </w:r>
      <w:r w:rsidR="004C2F19" w:rsidRPr="008E003B">
        <w:rPr>
          <w:rFonts w:ascii="Cambria" w:hAnsi="Cambria"/>
          <w:sz w:val="20"/>
          <w:szCs w:val="20"/>
          <w:lang w:val="es-ES_tradnl"/>
        </w:rPr>
        <w:t>ía una finalidad específica vinculada a un marco temporal delimitado o una condición resolutoria, bajo los estándares internacionales citados, la presunta víctima tenía derecho a que su separación del cargo</w:t>
      </w:r>
      <w:r w:rsidR="00B90D48" w:rsidRPr="008E003B">
        <w:rPr>
          <w:rFonts w:ascii="Cambria" w:hAnsi="Cambria"/>
          <w:sz w:val="20"/>
          <w:szCs w:val="20"/>
          <w:lang w:val="es-ES_tradnl"/>
        </w:rPr>
        <w:t xml:space="preserve"> </w:t>
      </w:r>
      <w:r w:rsidR="004C2F19" w:rsidRPr="008E003B">
        <w:rPr>
          <w:rFonts w:ascii="Cambria" w:hAnsi="Cambria"/>
          <w:sz w:val="20"/>
          <w:szCs w:val="20"/>
          <w:lang w:val="es-ES_tradnl"/>
        </w:rPr>
        <w:t>fuera consistente con la única otra opción aceptable bajo dichos estándares, esto es, un procedimiento en el cual se cumpliera con el derecho de defe</w:t>
      </w:r>
      <w:r w:rsidR="00E264B8" w:rsidRPr="008E003B">
        <w:rPr>
          <w:rFonts w:ascii="Cambria" w:hAnsi="Cambria"/>
          <w:sz w:val="20"/>
          <w:szCs w:val="20"/>
          <w:lang w:val="es-ES_tradnl"/>
        </w:rPr>
        <w:t xml:space="preserve">nsa y el principio de legalidad, en la medida en que debió tratarse de un procedimiento formalmente disciplinario. </w:t>
      </w:r>
      <w:r w:rsidR="004C2F19" w:rsidRPr="008E003B">
        <w:rPr>
          <w:rFonts w:ascii="Cambria" w:hAnsi="Cambria"/>
          <w:sz w:val="20"/>
          <w:szCs w:val="20"/>
          <w:lang w:val="es-ES_tradnl"/>
        </w:rPr>
        <w:t xml:space="preserve"> </w:t>
      </w:r>
      <w:r w:rsidR="009602B8" w:rsidRPr="008E003B">
        <w:rPr>
          <w:rFonts w:ascii="Cambria" w:hAnsi="Cambria"/>
          <w:sz w:val="20"/>
          <w:szCs w:val="20"/>
          <w:lang w:val="es-ES_tradnl"/>
        </w:rPr>
        <w:t xml:space="preserve"> </w:t>
      </w:r>
      <w:r w:rsidR="00DD18B2" w:rsidRPr="008E003B">
        <w:rPr>
          <w:rFonts w:ascii="Cambria" w:hAnsi="Cambria"/>
          <w:sz w:val="20"/>
          <w:szCs w:val="20"/>
          <w:lang w:val="es-ES_tradnl"/>
        </w:rPr>
        <w:t xml:space="preserve"> </w:t>
      </w:r>
    </w:p>
    <w:p w14:paraId="3453D220" w14:textId="77777777" w:rsidR="008E003B" w:rsidRPr="008E003B" w:rsidRDefault="008E003B" w:rsidP="008E003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14:paraId="10D36A3C" w14:textId="77777777" w:rsidR="00185737" w:rsidRPr="00165FF0" w:rsidRDefault="00E250A4"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 xml:space="preserve">De los hechos probados se desprende con claridad que </w:t>
      </w:r>
      <w:r w:rsidR="00A41013">
        <w:rPr>
          <w:rFonts w:ascii="Cambria" w:hAnsi="Cambria"/>
          <w:sz w:val="20"/>
          <w:szCs w:val="20"/>
          <w:lang w:val="es-ES_tradnl"/>
        </w:rPr>
        <w:t>por la naturaleza del</w:t>
      </w:r>
      <w:r w:rsidR="00835C67">
        <w:rPr>
          <w:rFonts w:ascii="Cambria" w:hAnsi="Cambria"/>
          <w:sz w:val="20"/>
          <w:szCs w:val="20"/>
          <w:lang w:val="es-ES_tradnl"/>
        </w:rPr>
        <w:t xml:space="preserve"> acto mediante el cual fue separada la </w:t>
      </w:r>
      <w:r w:rsidR="00A41013">
        <w:rPr>
          <w:rFonts w:ascii="Cambria" w:hAnsi="Cambria"/>
          <w:sz w:val="20"/>
          <w:szCs w:val="20"/>
          <w:lang w:val="es-ES_tradnl"/>
        </w:rPr>
        <w:t>presunta v</w:t>
      </w:r>
      <w:r w:rsidR="004901DE">
        <w:rPr>
          <w:rFonts w:ascii="Cambria" w:hAnsi="Cambria"/>
          <w:sz w:val="20"/>
          <w:szCs w:val="20"/>
          <w:lang w:val="es-ES_tradnl"/>
        </w:rPr>
        <w:t>íctima</w:t>
      </w:r>
      <w:r w:rsidR="00165FF0">
        <w:rPr>
          <w:rFonts w:ascii="Cambria" w:hAnsi="Cambria"/>
          <w:sz w:val="20"/>
          <w:szCs w:val="20"/>
          <w:lang w:val="es-ES_tradnl"/>
        </w:rPr>
        <w:t xml:space="preserve">, </w:t>
      </w:r>
      <w:r>
        <w:rPr>
          <w:rFonts w:ascii="Cambria" w:hAnsi="Cambria"/>
          <w:sz w:val="20"/>
          <w:szCs w:val="20"/>
          <w:lang w:val="es-ES_tradnl"/>
        </w:rPr>
        <w:t>é</w:t>
      </w:r>
      <w:r w:rsidR="00DB3CD4">
        <w:rPr>
          <w:rFonts w:ascii="Cambria" w:hAnsi="Cambria"/>
          <w:sz w:val="20"/>
          <w:szCs w:val="20"/>
          <w:lang w:val="es-ES_tradnl"/>
        </w:rPr>
        <w:t>sta</w:t>
      </w:r>
      <w:r w:rsidR="004901DE" w:rsidRPr="00165FF0">
        <w:rPr>
          <w:rFonts w:ascii="Cambria" w:hAnsi="Cambria"/>
          <w:sz w:val="20"/>
          <w:szCs w:val="20"/>
          <w:lang w:val="es-ES_tradnl"/>
        </w:rPr>
        <w:t xml:space="preserve"> </w:t>
      </w:r>
      <w:r w:rsidR="00A445C5">
        <w:rPr>
          <w:rFonts w:ascii="Cambria" w:hAnsi="Cambria"/>
          <w:sz w:val="20"/>
          <w:szCs w:val="20"/>
          <w:lang w:val="es-ES_tradnl"/>
        </w:rPr>
        <w:t>no contó con un procedimiento</w:t>
      </w:r>
      <w:r w:rsidR="00560E19">
        <w:rPr>
          <w:rFonts w:ascii="Cambria" w:hAnsi="Cambria"/>
          <w:sz w:val="20"/>
          <w:szCs w:val="20"/>
          <w:lang w:val="es-ES_tradnl"/>
        </w:rPr>
        <w:t xml:space="preserve"> que cumpliera con las garantías mínimas que se desprenden del derecho de defensa y el principio de legalidad. </w:t>
      </w:r>
    </w:p>
    <w:p w14:paraId="199F312D" w14:textId="77777777" w:rsidR="009233A5" w:rsidRDefault="009233A5" w:rsidP="00FE05A0">
      <w:pPr>
        <w:pStyle w:val="ListParagraph"/>
        <w:rPr>
          <w:sz w:val="20"/>
          <w:szCs w:val="20"/>
          <w:lang w:val="es-ES_tradnl"/>
        </w:rPr>
      </w:pPr>
    </w:p>
    <w:p w14:paraId="0B2E59BA" w14:textId="77777777" w:rsidR="00DB5E8A" w:rsidRDefault="009233A5"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En virtud de las razones anteriores</w:t>
      </w:r>
      <w:r w:rsidR="00265631">
        <w:rPr>
          <w:rFonts w:ascii="Cambria" w:hAnsi="Cambria"/>
          <w:sz w:val="20"/>
          <w:szCs w:val="20"/>
          <w:lang w:val="es-ES_tradnl"/>
        </w:rPr>
        <w:t>,</w:t>
      </w:r>
      <w:r>
        <w:rPr>
          <w:rFonts w:ascii="Cambria" w:hAnsi="Cambria"/>
          <w:sz w:val="20"/>
          <w:szCs w:val="20"/>
          <w:lang w:val="es-ES_tradnl"/>
        </w:rPr>
        <w:t xml:space="preserve"> la CIDH estima que el Estado violó los artículos </w:t>
      </w:r>
      <w:r w:rsidR="00165FF0">
        <w:rPr>
          <w:rFonts w:ascii="Cambria" w:hAnsi="Cambria"/>
          <w:sz w:val="20"/>
          <w:szCs w:val="20"/>
          <w:lang w:val="es-ES_tradnl"/>
        </w:rPr>
        <w:t>8.1, 8.2</w:t>
      </w:r>
      <w:r w:rsidR="009C65D8">
        <w:rPr>
          <w:rFonts w:ascii="Cambria" w:hAnsi="Cambria"/>
          <w:sz w:val="20"/>
          <w:szCs w:val="20"/>
          <w:lang w:val="es-ES_tradnl"/>
        </w:rPr>
        <w:t xml:space="preserve"> </w:t>
      </w:r>
      <w:r w:rsidR="00165FF0">
        <w:rPr>
          <w:rFonts w:ascii="Cambria" w:hAnsi="Cambria"/>
          <w:sz w:val="20"/>
          <w:szCs w:val="20"/>
          <w:lang w:val="es-ES_tradnl"/>
        </w:rPr>
        <w:t>b), 8.2</w:t>
      </w:r>
      <w:r w:rsidR="007F06E6">
        <w:rPr>
          <w:rFonts w:ascii="Cambria" w:hAnsi="Cambria"/>
          <w:sz w:val="20"/>
          <w:szCs w:val="20"/>
          <w:lang w:val="es-ES_tradnl"/>
        </w:rPr>
        <w:t xml:space="preserve"> </w:t>
      </w:r>
      <w:r w:rsidR="00165FF0">
        <w:rPr>
          <w:rFonts w:ascii="Cambria" w:hAnsi="Cambria"/>
          <w:sz w:val="20"/>
          <w:szCs w:val="20"/>
          <w:lang w:val="es-ES_tradnl"/>
        </w:rPr>
        <w:t xml:space="preserve">c) </w:t>
      </w:r>
      <w:r w:rsidR="0027459B">
        <w:rPr>
          <w:rFonts w:ascii="Cambria" w:hAnsi="Cambria"/>
          <w:sz w:val="20"/>
          <w:szCs w:val="20"/>
          <w:lang w:val="es-ES_tradnl"/>
        </w:rPr>
        <w:t xml:space="preserve">y 9 de la Convención Americana en relación con los artículos 1.1 y 2 en perjuicio de Julio Casa Nina. </w:t>
      </w:r>
    </w:p>
    <w:p w14:paraId="396C4C72" w14:textId="77777777" w:rsidR="00445099" w:rsidRDefault="00445099" w:rsidP="004C2B7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64B1264A" w14:textId="3FED4483" w:rsidR="00474776" w:rsidRPr="00445099" w:rsidRDefault="00474776" w:rsidP="00445099">
      <w:pPr>
        <w:pStyle w:val="Heading3"/>
        <w:numPr>
          <w:ilvl w:val="1"/>
          <w:numId w:val="62"/>
        </w:numPr>
        <w:spacing w:before="0" w:after="0"/>
        <w:ind w:left="1440" w:hanging="720"/>
        <w:jc w:val="both"/>
        <w:rPr>
          <w:rFonts w:asciiTheme="majorHAnsi" w:hAnsiTheme="majorHAnsi"/>
          <w:sz w:val="20"/>
          <w:szCs w:val="20"/>
          <w:lang w:val="es-ES_tradnl"/>
        </w:rPr>
      </w:pPr>
      <w:bookmarkStart w:id="21" w:name="_Toc521483546"/>
      <w:r w:rsidRPr="00445099">
        <w:rPr>
          <w:rFonts w:asciiTheme="majorHAnsi" w:hAnsiTheme="majorHAnsi"/>
          <w:sz w:val="20"/>
          <w:szCs w:val="20"/>
          <w:lang w:val="es-ES_tradnl"/>
        </w:rPr>
        <w:t xml:space="preserve">El </w:t>
      </w:r>
      <w:bookmarkEnd w:id="18"/>
      <w:r w:rsidR="00956DE2" w:rsidRPr="00445099">
        <w:rPr>
          <w:rFonts w:asciiTheme="majorHAnsi" w:hAnsiTheme="majorHAnsi"/>
          <w:sz w:val="20"/>
          <w:szCs w:val="20"/>
          <w:lang w:val="es-ES_tradnl"/>
        </w:rPr>
        <w:t>derecho a contar con decisiones debidamente motivadas</w:t>
      </w:r>
      <w:r w:rsidR="008E62A1" w:rsidRPr="00445099">
        <w:rPr>
          <w:rStyle w:val="FootnoteReference"/>
          <w:rFonts w:asciiTheme="majorHAnsi" w:hAnsiTheme="majorHAnsi"/>
          <w:b w:val="0"/>
          <w:sz w:val="20"/>
          <w:szCs w:val="20"/>
          <w:lang w:val="es-ES"/>
        </w:rPr>
        <w:footnoteReference w:id="35"/>
      </w:r>
      <w:r w:rsidR="009955F3" w:rsidRPr="00445099">
        <w:rPr>
          <w:rFonts w:asciiTheme="majorHAnsi" w:hAnsiTheme="majorHAnsi"/>
          <w:sz w:val="20"/>
          <w:szCs w:val="20"/>
          <w:lang w:val="es-ES_tradnl"/>
        </w:rPr>
        <w:t xml:space="preserve"> y el principio de presunción de inocencia</w:t>
      </w:r>
      <w:r w:rsidR="00CF7882" w:rsidRPr="00445099">
        <w:rPr>
          <w:rStyle w:val="FootnoteReference"/>
          <w:rFonts w:asciiTheme="majorHAnsi" w:hAnsiTheme="majorHAnsi"/>
          <w:b w:val="0"/>
          <w:sz w:val="20"/>
          <w:szCs w:val="20"/>
          <w:lang w:val="es-ES_tradnl"/>
        </w:rPr>
        <w:footnoteReference w:id="36"/>
      </w:r>
      <w:bookmarkEnd w:id="21"/>
      <w:r w:rsidR="008E62A1" w:rsidRPr="00445099">
        <w:rPr>
          <w:rFonts w:asciiTheme="majorHAnsi" w:hAnsiTheme="majorHAnsi"/>
          <w:sz w:val="20"/>
          <w:szCs w:val="20"/>
          <w:lang w:val="es-ES_tradnl"/>
        </w:rPr>
        <w:t xml:space="preserve"> </w:t>
      </w:r>
    </w:p>
    <w:p w14:paraId="7B16C683" w14:textId="77777777" w:rsidR="000D4B1C" w:rsidRPr="00072531" w:rsidRDefault="000D4B1C" w:rsidP="00FE05A0">
      <w:pPr>
        <w:rPr>
          <w:sz w:val="20"/>
          <w:szCs w:val="20"/>
          <w:lang w:val="es-AR"/>
        </w:rPr>
      </w:pPr>
    </w:p>
    <w:p w14:paraId="33CA836E" w14:textId="77777777" w:rsidR="004E209F" w:rsidRPr="00922149" w:rsidRDefault="009824C9"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Pr>
          <w:rFonts w:ascii="Cambria" w:hAnsi="Cambria"/>
          <w:sz w:val="20"/>
          <w:szCs w:val="20"/>
          <w:lang w:val="es-AR"/>
        </w:rPr>
        <w:t xml:space="preserve">La Comisión recuerda que </w:t>
      </w:r>
      <w:r w:rsidR="000D4B1C" w:rsidRPr="004E209F">
        <w:rPr>
          <w:rFonts w:ascii="Cambria" w:hAnsi="Cambria"/>
          <w:sz w:val="20"/>
          <w:szCs w:val="20"/>
          <w:lang w:val="es-AR"/>
        </w:rPr>
        <w:t>el deber de motivación es una de las “debidas garantías” incluidas en el artículo 8.1 para salvaguardar el derecho a un debido proceso</w:t>
      </w:r>
      <w:r w:rsidR="000D4B1C" w:rsidRPr="00E57D5F">
        <w:rPr>
          <w:rStyle w:val="FootnoteReference"/>
          <w:rFonts w:ascii="Cambria" w:hAnsi="Cambria"/>
          <w:sz w:val="20"/>
          <w:szCs w:val="20"/>
          <w:lang w:val="es-AR"/>
        </w:rPr>
        <w:footnoteReference w:id="37"/>
      </w:r>
      <w:r w:rsidR="004E209F">
        <w:rPr>
          <w:rFonts w:ascii="Cambria" w:hAnsi="Cambria"/>
          <w:sz w:val="20"/>
          <w:szCs w:val="20"/>
          <w:lang w:val="es-AR"/>
        </w:rPr>
        <w:t xml:space="preserve"> que consiste en la “</w:t>
      </w:r>
      <w:r w:rsidR="000D4B1C" w:rsidRPr="004E209F">
        <w:rPr>
          <w:rFonts w:ascii="Cambria" w:hAnsi="Cambria"/>
          <w:sz w:val="20"/>
          <w:szCs w:val="20"/>
          <w:lang w:val="es-AR"/>
        </w:rPr>
        <w:t xml:space="preserve">exteriorización de la justificación razonada que permite llegar a una </w:t>
      </w:r>
      <w:r w:rsidR="000D4B1C" w:rsidRPr="004E209F">
        <w:rPr>
          <w:rFonts w:ascii="Cambria" w:hAnsi="Cambria"/>
          <w:sz w:val="20"/>
          <w:szCs w:val="20"/>
          <w:lang w:val="es-ES"/>
        </w:rPr>
        <w:t>conclusión</w:t>
      </w:r>
      <w:r w:rsidR="000D4B1C" w:rsidRPr="004E209F">
        <w:rPr>
          <w:rFonts w:ascii="Cambria" w:hAnsi="Cambria"/>
          <w:sz w:val="20"/>
          <w:szCs w:val="20"/>
          <w:lang w:val="es-AR"/>
        </w:rPr>
        <w:t>”</w:t>
      </w:r>
      <w:r w:rsidR="000D4B1C" w:rsidRPr="00E57D5F">
        <w:rPr>
          <w:rStyle w:val="FootnoteReference"/>
          <w:rFonts w:ascii="Cambria" w:hAnsi="Cambria"/>
          <w:sz w:val="20"/>
          <w:szCs w:val="20"/>
        </w:rPr>
        <w:footnoteReference w:id="38"/>
      </w:r>
      <w:r w:rsidR="004E209F">
        <w:rPr>
          <w:rFonts w:ascii="Cambria" w:hAnsi="Cambria"/>
          <w:sz w:val="20"/>
          <w:szCs w:val="20"/>
          <w:lang w:val="es-AR"/>
        </w:rPr>
        <w:t xml:space="preserve"> y constituye un derecho a que las decisiones que adopten los órganos internos que puedan afectar derechos o intereses de las personas, estén debidamente fundamentadas, pues de lo contrario serían decisiones arbitrarias. Dicho deber </w:t>
      </w:r>
      <w:r w:rsidR="004E209F" w:rsidRPr="004E209F">
        <w:rPr>
          <w:rFonts w:ascii="Cambria" w:hAnsi="Cambria"/>
          <w:sz w:val="20"/>
          <w:szCs w:val="20"/>
          <w:lang w:val="es-VE" w:eastAsia="es-ES"/>
        </w:rPr>
        <w:t>“es una garantía vinculada con la correcta administración de justicia, que protege el derecho de los ciudadanos a ser juzgados por las razones que el Derecho suministra, y otorga credibilidad a las decisiones jurídicas en el marco de una sociedad democrática”</w:t>
      </w:r>
      <w:r w:rsidR="004E209F" w:rsidRPr="00FF5629">
        <w:rPr>
          <w:rFonts w:ascii="Cambria" w:hAnsi="Cambria"/>
          <w:sz w:val="20"/>
          <w:szCs w:val="20"/>
          <w:vertAlign w:val="superscript"/>
        </w:rPr>
        <w:footnoteReference w:id="39"/>
      </w:r>
      <w:r w:rsidR="004E209F" w:rsidRPr="004E209F">
        <w:rPr>
          <w:rFonts w:ascii="Cambria" w:hAnsi="Cambria"/>
          <w:sz w:val="20"/>
          <w:szCs w:val="20"/>
          <w:lang w:val="es-VE" w:eastAsia="es-ES"/>
        </w:rPr>
        <w:t>.</w:t>
      </w:r>
    </w:p>
    <w:p w14:paraId="7B20E5E7" w14:textId="77777777" w:rsidR="009824C9" w:rsidRPr="009824C9" w:rsidRDefault="009824C9"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Verdana"/>
          <w:sz w:val="20"/>
          <w:szCs w:val="20"/>
          <w:lang w:val="es-UY"/>
        </w:rPr>
      </w:pPr>
    </w:p>
    <w:p w14:paraId="3820D20B" w14:textId="77777777" w:rsidR="00190562" w:rsidRPr="00C31403" w:rsidRDefault="00922149"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Pr>
          <w:rFonts w:ascii="Cambria" w:hAnsi="Cambria" w:cs="Verdana"/>
          <w:sz w:val="20"/>
          <w:szCs w:val="20"/>
          <w:lang w:val="es-UY"/>
        </w:rPr>
        <w:t xml:space="preserve">La CIDH ha indicado que la motivación en los procesos de carácter sancionatorio tiene dos efectos: </w:t>
      </w:r>
      <w:r w:rsidR="00190562" w:rsidRPr="00190562">
        <w:rPr>
          <w:rFonts w:ascii="Cambria" w:hAnsi="Cambria"/>
          <w:sz w:val="20"/>
          <w:szCs w:val="20"/>
          <w:lang w:val="es-VE" w:eastAsia="es-ES"/>
        </w:rPr>
        <w:t>demostrar a las partes que éstas han sido oídas y, en aquellos casos en que las decisiones son recurribles, proporcionar la posibilidad de criticar la resolución y lograr un nuevo examen de la cuestión ante las instancias superiores. Según lo ha señalado la Corte Interamericana, las resoluciones de carácter disciplinario deben contener “la indicación precisa de aquello que constituye una falta y el desarrollo de argumentos que permitan concluir que las observaciones tienen la suficiente entidad para justificar que un juez no permanezca en el cargo”. La exigencia de un nivel adecuado de motivación es sumamente relevante ya que el control disciplinario tiene como objeto valorar la conducta, idoneidad y desempeño de un funcionario público y, por ende, es en la propia motivación donde corresponde analizar la gravedad de la conducta imputada y la proporcionalidad de la sanción</w:t>
      </w:r>
      <w:r w:rsidR="00190562" w:rsidRPr="00FC299A">
        <w:rPr>
          <w:rFonts w:ascii="Cambria" w:hAnsi="Cambria"/>
          <w:sz w:val="20"/>
          <w:szCs w:val="20"/>
          <w:vertAlign w:val="superscript"/>
        </w:rPr>
        <w:footnoteReference w:id="40"/>
      </w:r>
      <w:r w:rsidR="00190562" w:rsidRPr="00190562">
        <w:rPr>
          <w:rFonts w:ascii="Cambria" w:hAnsi="Cambria"/>
          <w:sz w:val="20"/>
          <w:szCs w:val="20"/>
          <w:lang w:val="es-VE" w:eastAsia="es-ES"/>
        </w:rPr>
        <w:t>.</w:t>
      </w:r>
    </w:p>
    <w:p w14:paraId="5E26C50A" w14:textId="77777777" w:rsidR="00C31403" w:rsidRDefault="00C31403" w:rsidP="00FE05A0">
      <w:pPr>
        <w:pStyle w:val="ListParagraph"/>
        <w:rPr>
          <w:rFonts w:cs="Verdana"/>
          <w:sz w:val="20"/>
          <w:szCs w:val="20"/>
          <w:lang w:val="es-UY"/>
        </w:rPr>
      </w:pPr>
    </w:p>
    <w:p w14:paraId="1061F0B2" w14:textId="77777777" w:rsidR="00B67D50" w:rsidRPr="00BE6417" w:rsidRDefault="00C31403"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Pr>
          <w:rFonts w:ascii="Cambria" w:hAnsi="Cambria" w:cs="Verdana"/>
          <w:sz w:val="20"/>
          <w:szCs w:val="20"/>
          <w:lang w:val="es-UY"/>
        </w:rPr>
        <w:t>Por otra parte, el principio de presunción de inocencia exige que una persona no pueda ser sancionada</w:t>
      </w:r>
      <w:r w:rsidR="00B67D50">
        <w:rPr>
          <w:rFonts w:ascii="Cambria" w:hAnsi="Cambria" w:cs="Verdana"/>
          <w:sz w:val="20"/>
          <w:szCs w:val="20"/>
          <w:lang w:val="es-UY"/>
        </w:rPr>
        <w:t xml:space="preserve"> mientras no exista prueba plena de su responsabilidad. </w:t>
      </w:r>
      <w:r w:rsidR="00BE6417">
        <w:rPr>
          <w:rFonts w:ascii="Cambria" w:hAnsi="Cambria" w:cs="Verdana"/>
          <w:sz w:val="20"/>
          <w:szCs w:val="20"/>
          <w:lang w:val="es-UY"/>
        </w:rPr>
        <w:t>Según lo ha señalado la Corte Interamericana,</w:t>
      </w:r>
      <w:r w:rsidR="00B67D50" w:rsidRPr="00BE6417">
        <w:rPr>
          <w:rFonts w:ascii="Cambria" w:hAnsi="Cambria" w:cs="Verdana"/>
          <w:sz w:val="20"/>
          <w:szCs w:val="20"/>
          <w:lang w:val="es-UY"/>
        </w:rPr>
        <w:t xml:space="preserve"> si obra contra ella prueba incompleta o suficiente, no es procedente condenarla, sino absolverla. En este sentido, la Corte ha considerado que “el principio de presunción de inocencia subyace al propósito de las garantías judiciales, al afirmar la idea de que una persona es inocente hasta que su culpabilidad sea demostrada</w:t>
      </w:r>
      <w:r w:rsidR="005303ED" w:rsidRPr="00BE6417">
        <w:rPr>
          <w:rFonts w:ascii="Cambria" w:hAnsi="Cambria" w:cs="Verdana"/>
          <w:sz w:val="20"/>
          <w:szCs w:val="20"/>
          <w:lang w:val="es-UY"/>
        </w:rPr>
        <w:t>”</w:t>
      </w:r>
      <w:r w:rsidR="00BE6417" w:rsidRPr="00BE6417">
        <w:rPr>
          <w:rFonts w:ascii="Cambria" w:hAnsi="Cambria" w:cs="Verdana"/>
          <w:sz w:val="20"/>
          <w:szCs w:val="20"/>
          <w:vertAlign w:val="superscript"/>
          <w:lang w:val="es-UY"/>
        </w:rPr>
        <w:footnoteReference w:id="41"/>
      </w:r>
      <w:r w:rsidR="00BE6417" w:rsidRPr="00BE6417">
        <w:rPr>
          <w:rFonts w:ascii="Cambria" w:hAnsi="Cambria" w:cs="Verdana"/>
          <w:sz w:val="20"/>
          <w:szCs w:val="20"/>
          <w:lang w:val="es-UY"/>
        </w:rPr>
        <w:t>. La Corte también ha indicado que se vulnera la presunción de inocencia si antes de que el acusado sea encontrado culpable una decisión judicial relacionada con él refleja la opinión de que es culpable</w:t>
      </w:r>
      <w:r w:rsidR="00BE6417" w:rsidRPr="00FC299A">
        <w:rPr>
          <w:rFonts w:ascii="Cambria" w:hAnsi="Cambria"/>
          <w:sz w:val="20"/>
          <w:szCs w:val="20"/>
          <w:vertAlign w:val="superscript"/>
        </w:rPr>
        <w:footnoteReference w:id="42"/>
      </w:r>
      <w:r w:rsidR="00BE6417" w:rsidRPr="00BE6417">
        <w:rPr>
          <w:rFonts w:ascii="Cambria" w:hAnsi="Cambria" w:cs="Verdana"/>
          <w:sz w:val="20"/>
          <w:szCs w:val="20"/>
          <w:lang w:val="es-UY"/>
        </w:rPr>
        <w:t xml:space="preserve">. </w:t>
      </w:r>
      <w:r w:rsidR="00BE6417">
        <w:rPr>
          <w:rFonts w:ascii="Cambria" w:hAnsi="Cambria" w:cs="Verdana"/>
          <w:sz w:val="20"/>
          <w:szCs w:val="20"/>
          <w:lang w:val="es-UY"/>
        </w:rPr>
        <w:t xml:space="preserve"> </w:t>
      </w:r>
    </w:p>
    <w:p w14:paraId="185B8AE6" w14:textId="77777777" w:rsidR="00BE6417" w:rsidRPr="006C2A63" w:rsidRDefault="00BE6417" w:rsidP="00FE05A0">
      <w:pPr>
        <w:rPr>
          <w:rFonts w:cs="Verdana"/>
          <w:sz w:val="20"/>
          <w:szCs w:val="20"/>
          <w:lang w:val="es-UY"/>
        </w:rPr>
      </w:pPr>
    </w:p>
    <w:p w14:paraId="0AEC4FCE" w14:textId="77777777" w:rsidR="006C2A63" w:rsidRDefault="00E75771"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sidRPr="00E40E30">
        <w:rPr>
          <w:rFonts w:ascii="Cambria" w:hAnsi="Cambria" w:cs="Verdana"/>
          <w:sz w:val="20"/>
          <w:szCs w:val="20"/>
          <w:lang w:val="es-UY"/>
        </w:rPr>
        <w:t>En el presente caso, la Comisión destaca que la decisión que cesó a la presunta v</w:t>
      </w:r>
      <w:r w:rsidR="004C384D" w:rsidRPr="00E40E30">
        <w:rPr>
          <w:rFonts w:ascii="Cambria" w:hAnsi="Cambria" w:cs="Verdana"/>
          <w:sz w:val="20"/>
          <w:szCs w:val="20"/>
          <w:lang w:val="es-UY"/>
        </w:rPr>
        <w:t>íctima de su cargo, carece de motivación y se limita a indicar que el nombramiento de los Fiscales es de carácter temporal, sujeto a las necesidades del servicio por lo que resolvió “dar por concluido el nombramiento del Doctor Julio Casa Nina”</w:t>
      </w:r>
      <w:r w:rsidR="006C2A63">
        <w:rPr>
          <w:rFonts w:ascii="Cambria" w:hAnsi="Cambria" w:cs="Verdana"/>
          <w:sz w:val="20"/>
          <w:szCs w:val="20"/>
          <w:lang w:val="es-UY"/>
        </w:rPr>
        <w:t>. Asimismo, en dicha decisión se indica que la misma es “sin perjuicio de las acciones legales que pudiesen ser pertinentes por la queja y la denuncia que se encuentran en trámite”. E</w:t>
      </w:r>
      <w:r w:rsidR="00CD6E22">
        <w:rPr>
          <w:rFonts w:ascii="Cambria" w:hAnsi="Cambria" w:cs="Verdana"/>
          <w:sz w:val="20"/>
          <w:szCs w:val="20"/>
          <w:lang w:val="es-UY"/>
        </w:rPr>
        <w:t xml:space="preserve">n la decisión </w:t>
      </w:r>
      <w:r w:rsidR="00F90D7D">
        <w:rPr>
          <w:rFonts w:ascii="Cambria" w:hAnsi="Cambria" w:cs="Verdana"/>
          <w:sz w:val="20"/>
          <w:szCs w:val="20"/>
          <w:lang w:val="es-UY"/>
        </w:rPr>
        <w:t xml:space="preserve">de 14 de febrero de 2003, que declaró sin lugar el recurso de reconsideración planteado por la presunta víctima la Fiscal reiteró que el nombramiento de los fiscales es temporal y añadió dentro de sus consideraciones que “a la fecha  de expedirse  la citada resolución el recurrente tiene dos quejas en trámite en la Comisión Distrital Descentralizada de Control Interno”. </w:t>
      </w:r>
    </w:p>
    <w:p w14:paraId="26BE58CB" w14:textId="77777777" w:rsidR="00F90D7D" w:rsidRDefault="00F90D7D" w:rsidP="00FE05A0">
      <w:pPr>
        <w:pStyle w:val="ListParagraph"/>
        <w:rPr>
          <w:rFonts w:cs="Verdana"/>
          <w:sz w:val="20"/>
          <w:szCs w:val="20"/>
          <w:lang w:val="es-UY"/>
        </w:rPr>
      </w:pPr>
    </w:p>
    <w:p w14:paraId="6F613E1B" w14:textId="77777777" w:rsidR="005B2A81" w:rsidRDefault="00F90D7D"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Pr>
          <w:rFonts w:ascii="Cambria" w:hAnsi="Cambria" w:cs="Verdana"/>
          <w:sz w:val="20"/>
          <w:szCs w:val="20"/>
          <w:lang w:val="es-UY"/>
        </w:rPr>
        <w:t>La Comisión subraya que la falta de motivación de dichas resoluciones no permiten comprender las razones que determinaron el cese del nombramiento de la presunta víctima. La CIDH destaca que la mera invocación dentro de la parte considerativa de “necesidades de servicio” sin indicar a que se refiere no cumple con la garantía de motivación.</w:t>
      </w:r>
      <w:r w:rsidR="00FF6385">
        <w:rPr>
          <w:rFonts w:ascii="Cambria" w:hAnsi="Cambria" w:cs="Verdana"/>
          <w:sz w:val="20"/>
          <w:szCs w:val="20"/>
          <w:lang w:val="es-UY"/>
        </w:rPr>
        <w:t xml:space="preserve"> </w:t>
      </w:r>
      <w:r w:rsidR="0086766D">
        <w:rPr>
          <w:rFonts w:ascii="Cambria" w:hAnsi="Cambria" w:cs="Verdana"/>
          <w:sz w:val="20"/>
          <w:szCs w:val="20"/>
          <w:lang w:val="es-UY"/>
        </w:rPr>
        <w:t>Como se analizó anteriormente, el acto de nombramiento del señor Casa Nina no ofrece salvaguardas mínimas en cuanto a temporalidad o condición resolutoria</w:t>
      </w:r>
      <w:r w:rsidR="004F7820">
        <w:rPr>
          <w:rFonts w:ascii="Cambria" w:hAnsi="Cambria" w:cs="Verdana"/>
          <w:sz w:val="20"/>
          <w:szCs w:val="20"/>
          <w:lang w:val="es-UY"/>
        </w:rPr>
        <w:t>, de manera que fuera posible entender las razones de servicio que fundamentaron su designación de carácter provisional.</w:t>
      </w:r>
      <w:r w:rsidR="00564C3F">
        <w:rPr>
          <w:rFonts w:ascii="Cambria" w:hAnsi="Cambria" w:cs="Verdana"/>
          <w:sz w:val="20"/>
          <w:szCs w:val="20"/>
          <w:lang w:val="es-UY"/>
        </w:rPr>
        <w:t xml:space="preserve"> Esto, sumado a</w:t>
      </w:r>
      <w:r w:rsidR="00732056">
        <w:rPr>
          <w:rFonts w:ascii="Cambria" w:hAnsi="Cambria" w:cs="Verdana"/>
          <w:sz w:val="20"/>
          <w:szCs w:val="20"/>
          <w:lang w:val="es-UY"/>
        </w:rPr>
        <w:t xml:space="preserve"> la falta de motivación de la separación</w:t>
      </w:r>
      <w:r w:rsidR="00564C3F">
        <w:rPr>
          <w:rFonts w:ascii="Cambria" w:hAnsi="Cambria" w:cs="Verdana"/>
          <w:sz w:val="20"/>
          <w:szCs w:val="20"/>
          <w:lang w:val="es-UY"/>
        </w:rPr>
        <w:t xml:space="preserve"> </w:t>
      </w:r>
      <w:r w:rsidR="00732056">
        <w:rPr>
          <w:rFonts w:ascii="Cambria" w:hAnsi="Cambria" w:cs="Verdana"/>
          <w:sz w:val="20"/>
          <w:szCs w:val="20"/>
          <w:lang w:val="es-UY"/>
        </w:rPr>
        <w:t>del cargo, viene a profundizar la precariedad en que el señor Casa Nina ejerció una función trascendental en un Estado de derecho</w:t>
      </w:r>
      <w:r w:rsidR="008162B1">
        <w:rPr>
          <w:rFonts w:ascii="Cambria" w:hAnsi="Cambria" w:cs="Verdana"/>
          <w:sz w:val="20"/>
          <w:szCs w:val="20"/>
          <w:lang w:val="es-UY"/>
        </w:rPr>
        <w:t xml:space="preserve">, precariedad que tuvo su mayor concreción en la separación inmotivada de un cargo que venía ejerciendo por un periodo de tiempo considerable. </w:t>
      </w:r>
    </w:p>
    <w:p w14:paraId="00989443" w14:textId="77777777" w:rsidR="005B2A81" w:rsidRDefault="005B2A81" w:rsidP="00F74AB9">
      <w:pPr>
        <w:pStyle w:val="ListParagraph"/>
        <w:rPr>
          <w:rFonts w:cs="Verdana"/>
          <w:sz w:val="20"/>
          <w:szCs w:val="20"/>
          <w:lang w:val="es-UY"/>
        </w:rPr>
      </w:pPr>
    </w:p>
    <w:p w14:paraId="787C8AF4" w14:textId="77777777" w:rsidR="00B85067" w:rsidRDefault="00B8506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Pr>
          <w:rFonts w:ascii="Cambria" w:hAnsi="Cambria" w:cs="Verdana"/>
          <w:sz w:val="20"/>
          <w:szCs w:val="20"/>
          <w:lang w:val="es-UY"/>
        </w:rPr>
        <w:t>A lo anterior se suma que tanto en la decisión de 21 de enero de 2003 se hace referencia a una queja y denuncia en trámite, sin indicar si la existencia de dichas quejas fue un factor que se consideró para tomar la decisión. No obstante, lo anterior</w:t>
      </w:r>
      <w:r w:rsidR="00B53869">
        <w:rPr>
          <w:rFonts w:ascii="Cambria" w:hAnsi="Cambria" w:cs="Verdana"/>
          <w:sz w:val="20"/>
          <w:szCs w:val="20"/>
          <w:lang w:val="es-UY"/>
        </w:rPr>
        <w:t xml:space="preserve"> pareciera hacerse </w:t>
      </w:r>
      <w:r>
        <w:rPr>
          <w:rFonts w:ascii="Cambria" w:hAnsi="Cambria" w:cs="Verdana"/>
          <w:sz w:val="20"/>
          <w:szCs w:val="20"/>
          <w:lang w:val="es-UY"/>
        </w:rPr>
        <w:t>explícito en la decisión de reconsideración, la cual toma en cuenta para ratificar su decisión, que la presunta víctima tiene quejas o denuncias en trámite. Ello implica que la mera existencia de quejas o procesos en curso sin que importe las decisiones que se alcanzaron en el marco de dichos procedimientos, fueron factores</w:t>
      </w:r>
      <w:r w:rsidR="002431E5">
        <w:rPr>
          <w:rFonts w:ascii="Cambria" w:hAnsi="Cambria" w:cs="Verdana"/>
          <w:sz w:val="20"/>
          <w:szCs w:val="20"/>
          <w:lang w:val="es-UY"/>
        </w:rPr>
        <w:t xml:space="preserve"> que pudieron tomarse en cuenta </w:t>
      </w:r>
      <w:r>
        <w:rPr>
          <w:rFonts w:ascii="Cambria" w:hAnsi="Cambria" w:cs="Verdana"/>
          <w:sz w:val="20"/>
          <w:szCs w:val="20"/>
          <w:lang w:val="es-UY"/>
        </w:rPr>
        <w:t>para cesar a la presunta víctima de su cargo, lo cual vulnera el principio de presunción de inocencia</w:t>
      </w:r>
      <w:r w:rsidR="00732459">
        <w:rPr>
          <w:rFonts w:ascii="Cambria" w:hAnsi="Cambria" w:cs="Verdana"/>
          <w:sz w:val="20"/>
          <w:szCs w:val="20"/>
          <w:lang w:val="es-UY"/>
        </w:rPr>
        <w:t>. Justamente, la existencia de</w:t>
      </w:r>
      <w:r w:rsidR="00B22704">
        <w:rPr>
          <w:rFonts w:ascii="Cambria" w:hAnsi="Cambria" w:cs="Verdana"/>
          <w:sz w:val="20"/>
          <w:szCs w:val="20"/>
          <w:lang w:val="es-UY"/>
        </w:rPr>
        <w:t xml:space="preserve">l nombramiento sin salvaguardas mínimas de independencia, seguido de una separación inmotivada y bajo la premisa que se trató de una “cargo de confianza”, además de ser incompatible con los estándares ya citados, genera serias dudas sobre la incidencia que pudieron tener las quejas contra la presunta víctima en la toma de esta decisión. Estas dudas no fueron despejadas por el Estado mediante una debida motivación. </w:t>
      </w:r>
      <w:r w:rsidR="00355E3A">
        <w:rPr>
          <w:rFonts w:ascii="Cambria" w:hAnsi="Cambria" w:cs="Verdana"/>
          <w:sz w:val="20"/>
          <w:szCs w:val="20"/>
          <w:lang w:val="es-UY"/>
        </w:rPr>
        <w:t xml:space="preserve">. </w:t>
      </w:r>
      <w:r>
        <w:rPr>
          <w:rFonts w:ascii="Cambria" w:hAnsi="Cambria" w:cs="Verdana"/>
          <w:sz w:val="20"/>
          <w:szCs w:val="20"/>
          <w:lang w:val="es-UY"/>
        </w:rPr>
        <w:t xml:space="preserve"> </w:t>
      </w:r>
    </w:p>
    <w:p w14:paraId="5CEBB0D2" w14:textId="77777777" w:rsidR="001C55B2" w:rsidRPr="00355E3A" w:rsidRDefault="001C55B2"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Verdana"/>
          <w:sz w:val="20"/>
          <w:szCs w:val="20"/>
          <w:lang w:val="es-UY"/>
        </w:rPr>
      </w:pPr>
    </w:p>
    <w:p w14:paraId="58EB492C" w14:textId="77777777" w:rsidR="00F231E5" w:rsidRDefault="00355E3A"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Pr>
          <w:rFonts w:ascii="Cambria" w:hAnsi="Cambria" w:cs="Verdana"/>
          <w:sz w:val="20"/>
          <w:szCs w:val="20"/>
          <w:lang w:val="es-UY"/>
        </w:rPr>
        <w:t>En virtud de las consideraciones</w:t>
      </w:r>
      <w:r w:rsidR="001C55B2">
        <w:rPr>
          <w:rFonts w:ascii="Cambria" w:hAnsi="Cambria" w:cs="Verdana"/>
          <w:sz w:val="20"/>
          <w:szCs w:val="20"/>
          <w:lang w:val="es-UY"/>
        </w:rPr>
        <w:t xml:space="preserve"> anteriores, la CIDH estima que el Estado violó el deber de motivación </w:t>
      </w:r>
      <w:r>
        <w:rPr>
          <w:rFonts w:ascii="Cambria" w:hAnsi="Cambria" w:cs="Verdana"/>
          <w:sz w:val="20"/>
          <w:szCs w:val="20"/>
          <w:lang w:val="es-UY"/>
        </w:rPr>
        <w:t xml:space="preserve">y el principio de presunción de inocencia, establecidos en los artículos 8.1 y 8.2 de la Convención Americana, </w:t>
      </w:r>
      <w:r w:rsidR="001C55B2">
        <w:rPr>
          <w:rFonts w:ascii="Cambria" w:hAnsi="Cambria" w:cs="Verdana"/>
          <w:sz w:val="20"/>
          <w:szCs w:val="20"/>
          <w:lang w:val="es-UY"/>
        </w:rPr>
        <w:t xml:space="preserve">en relación con el artículo 1.1 del mismo instrumento, en perjuicio de Julio Casa Nina. </w:t>
      </w:r>
    </w:p>
    <w:p w14:paraId="5562F181" w14:textId="77777777" w:rsidR="00AA7334" w:rsidRPr="006A6596" w:rsidRDefault="00AA7334" w:rsidP="00AA733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Verdana"/>
          <w:sz w:val="20"/>
          <w:szCs w:val="20"/>
          <w:lang w:val="es-UY"/>
        </w:rPr>
      </w:pPr>
    </w:p>
    <w:p w14:paraId="4FD7B781" w14:textId="77777777" w:rsidR="002A15BE" w:rsidRPr="006A6596" w:rsidRDefault="002A15BE" w:rsidP="005D5BF1">
      <w:pPr>
        <w:pStyle w:val="Heading2"/>
        <w:numPr>
          <w:ilvl w:val="0"/>
          <w:numId w:val="60"/>
        </w:numPr>
        <w:spacing w:before="0" w:after="0"/>
        <w:ind w:left="1440" w:hanging="720"/>
        <w:jc w:val="both"/>
        <w:rPr>
          <w:rFonts w:ascii="Cambria" w:hAnsi="Cambria"/>
          <w:i w:val="0"/>
          <w:sz w:val="20"/>
          <w:szCs w:val="20"/>
          <w:lang w:val="es-ES_tradnl"/>
        </w:rPr>
      </w:pPr>
      <w:bookmarkStart w:id="22" w:name="_Toc516656765"/>
      <w:bookmarkStart w:id="23" w:name="_Toc521483547"/>
      <w:r w:rsidRPr="006A6596">
        <w:rPr>
          <w:rFonts w:ascii="Cambria" w:hAnsi="Cambria"/>
          <w:i w:val="0"/>
          <w:sz w:val="20"/>
          <w:szCs w:val="20"/>
          <w:lang w:val="es-ES_tradnl"/>
        </w:rPr>
        <w:t>El derecho a la protección judicial</w:t>
      </w:r>
      <w:r w:rsidRPr="006A6596">
        <w:rPr>
          <w:rFonts w:ascii="Cambria" w:hAnsi="Cambria"/>
          <w:i w:val="0"/>
          <w:sz w:val="20"/>
          <w:szCs w:val="20"/>
          <w:vertAlign w:val="superscript"/>
          <w:lang w:val="es-ES_tradnl"/>
        </w:rPr>
        <w:footnoteReference w:id="43"/>
      </w:r>
      <w:bookmarkEnd w:id="22"/>
      <w:bookmarkEnd w:id="23"/>
    </w:p>
    <w:p w14:paraId="21A7C14F" w14:textId="77777777" w:rsidR="002A15BE" w:rsidRDefault="002A15BE"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CO"/>
        </w:rPr>
      </w:pPr>
    </w:p>
    <w:p w14:paraId="3BAFA753" w14:textId="2FB5DF13" w:rsidR="00B46DA3" w:rsidRPr="00DD2873" w:rsidRDefault="00ED0FFE" w:rsidP="00DD28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Pr>
          <w:rFonts w:ascii="Cambria" w:hAnsi="Cambria"/>
          <w:sz w:val="20"/>
          <w:szCs w:val="20"/>
          <w:lang w:val="es-CO"/>
        </w:rPr>
        <w:t>L</w:t>
      </w:r>
      <w:r w:rsidR="002A15BE" w:rsidRPr="007E63D7">
        <w:rPr>
          <w:rFonts w:ascii="Cambria" w:hAnsi="Cambria"/>
          <w:sz w:val="20"/>
          <w:szCs w:val="20"/>
          <w:lang w:val="es-CO"/>
        </w:rPr>
        <w:t xml:space="preserve">a CIDH recuerda que el Estado está en la obligación general de proveer </w:t>
      </w:r>
      <w:r w:rsidR="003B2AC0">
        <w:rPr>
          <w:rFonts w:ascii="Cambria" w:hAnsi="Cambria"/>
          <w:sz w:val="20"/>
          <w:szCs w:val="20"/>
          <w:lang w:val="es-CO"/>
        </w:rPr>
        <w:t xml:space="preserve">los </w:t>
      </w:r>
      <w:r w:rsidR="002A15BE" w:rsidRPr="007E63D7">
        <w:rPr>
          <w:rFonts w:ascii="Cambria" w:hAnsi="Cambria"/>
          <w:sz w:val="20"/>
          <w:szCs w:val="20"/>
          <w:lang w:val="es-CO"/>
        </w:rPr>
        <w:t>recursos judiciales efectivos a las personas que aleguen ser víctimas de violaciones de derechos humanos (artículo 25), los cuales deben ser sustanciados de conformidad con las reglas del debido proceso legal (artículo 8.1). Para que exista un recurso efectivo no basta con que esté previsto legalmente sino que deber ser realmente idóneo para establecer si se ha incurrido en una violación a los derechos humanos, y proveer lo necesario para remediarla</w:t>
      </w:r>
      <w:r w:rsidR="002A15BE" w:rsidRPr="00D276E7">
        <w:rPr>
          <w:rFonts w:ascii="Cambria" w:hAnsi="Cambria"/>
          <w:sz w:val="20"/>
          <w:szCs w:val="20"/>
          <w:vertAlign w:val="superscript"/>
        </w:rPr>
        <w:footnoteReference w:id="44"/>
      </w:r>
      <w:r w:rsidR="002A15BE" w:rsidRPr="007E63D7">
        <w:rPr>
          <w:rFonts w:ascii="Cambria" w:hAnsi="Cambria"/>
          <w:sz w:val="20"/>
          <w:szCs w:val="20"/>
          <w:lang w:val="es-CO"/>
        </w:rPr>
        <w:t xml:space="preserve">. </w:t>
      </w:r>
      <w:r w:rsidR="00797238" w:rsidRPr="00DD2873">
        <w:rPr>
          <w:rFonts w:ascii="Cambria" w:hAnsi="Cambria"/>
          <w:sz w:val="20"/>
          <w:szCs w:val="20"/>
          <w:lang w:val="es-CO"/>
        </w:rPr>
        <w:t>Al evaluar la efectividad de los recursos debe examinarse si las decisiones en los procesos judiciales han contribuido efectivamente a poner fin a una situación violatoria de derechos, a asegurar la no repetición de los actos lesivos y a garantizar el libre y pleno ejercicio de los derechos protegidos por la Convención</w:t>
      </w:r>
      <w:r w:rsidR="00641481">
        <w:rPr>
          <w:rStyle w:val="FootnoteReference"/>
          <w:rFonts w:ascii="Cambria" w:hAnsi="Cambria"/>
          <w:sz w:val="20"/>
          <w:szCs w:val="20"/>
          <w:lang w:val="es-CO"/>
        </w:rPr>
        <w:footnoteReference w:id="45"/>
      </w:r>
      <w:r w:rsidR="00797238" w:rsidRPr="00DD2873">
        <w:rPr>
          <w:rFonts w:ascii="Cambria" w:hAnsi="Cambria"/>
          <w:sz w:val="20"/>
          <w:szCs w:val="20"/>
          <w:lang w:val="es-CO"/>
        </w:rPr>
        <w:t xml:space="preserve">. </w:t>
      </w:r>
    </w:p>
    <w:p w14:paraId="5CB2FAC2" w14:textId="77777777" w:rsidR="000C49B1" w:rsidRDefault="000C49B1"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594ADBFC" w14:textId="77777777" w:rsidR="00B46DA3" w:rsidRDefault="002A15BE"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0C49B1">
        <w:rPr>
          <w:rFonts w:ascii="Cambria" w:hAnsi="Cambria"/>
          <w:sz w:val="20"/>
          <w:szCs w:val="20"/>
          <w:lang w:val="es-CO"/>
        </w:rPr>
        <w:t>En el p</w:t>
      </w:r>
      <w:r w:rsidR="00C54E58" w:rsidRPr="000C49B1">
        <w:rPr>
          <w:rFonts w:ascii="Cambria" w:hAnsi="Cambria"/>
          <w:sz w:val="20"/>
          <w:szCs w:val="20"/>
          <w:lang w:val="es-CO"/>
        </w:rPr>
        <w:t>resente caso,</w:t>
      </w:r>
      <w:r w:rsidRPr="000C49B1">
        <w:rPr>
          <w:rFonts w:ascii="Cambria" w:hAnsi="Cambria"/>
          <w:sz w:val="20"/>
          <w:szCs w:val="20"/>
          <w:lang w:val="es-ES"/>
        </w:rPr>
        <w:t xml:space="preserve"> la Comisión toma nota que la presunta víctima</w:t>
      </w:r>
      <w:r w:rsidR="00C54E58" w:rsidRPr="000C49B1">
        <w:rPr>
          <w:rFonts w:ascii="Cambria" w:hAnsi="Cambria"/>
          <w:sz w:val="20"/>
          <w:szCs w:val="20"/>
          <w:lang w:val="es-ES"/>
        </w:rPr>
        <w:t xml:space="preserve"> hizo uso de recursos en la vía</w:t>
      </w:r>
      <w:r w:rsidRPr="000C49B1">
        <w:rPr>
          <w:rFonts w:ascii="Cambria" w:hAnsi="Cambria"/>
          <w:sz w:val="20"/>
          <w:szCs w:val="20"/>
          <w:lang w:val="es-ES"/>
        </w:rPr>
        <w:t xml:space="preserve"> administrativa y constitucional.  </w:t>
      </w:r>
    </w:p>
    <w:p w14:paraId="27E647E3" w14:textId="77777777" w:rsidR="00B46DA3" w:rsidRDefault="00B46DA3" w:rsidP="00FE05A0">
      <w:pPr>
        <w:pStyle w:val="ListParagraph"/>
        <w:rPr>
          <w:sz w:val="20"/>
          <w:szCs w:val="20"/>
          <w:lang w:val="es-ES"/>
        </w:rPr>
      </w:pPr>
    </w:p>
    <w:p w14:paraId="4860942D" w14:textId="77777777" w:rsidR="006D029F" w:rsidRPr="006D029F" w:rsidRDefault="00C54E58"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B46DA3">
        <w:rPr>
          <w:rFonts w:ascii="Cambria" w:hAnsi="Cambria"/>
          <w:sz w:val="20"/>
          <w:szCs w:val="20"/>
          <w:lang w:val="es-ES"/>
        </w:rPr>
        <w:t>En cuanto a la vía administrativa</w:t>
      </w:r>
      <w:r w:rsidR="002A15BE" w:rsidRPr="00B46DA3">
        <w:rPr>
          <w:rFonts w:ascii="Cambria" w:hAnsi="Cambria"/>
          <w:sz w:val="20"/>
          <w:szCs w:val="20"/>
          <w:lang w:val="es-ES"/>
        </w:rPr>
        <w:t xml:space="preserve">, la Comisión recuerda que </w:t>
      </w:r>
      <w:r w:rsidR="006D029F">
        <w:rPr>
          <w:rFonts w:ascii="Cambria" w:hAnsi="Cambria"/>
          <w:sz w:val="20"/>
          <w:szCs w:val="20"/>
          <w:lang w:val="es-ES"/>
        </w:rPr>
        <w:t xml:space="preserve">la presunta víctima planteó un recurso de reconsideración ante la Fiscal de la Nación, el cual fue declarado sin lugar el 14 de febrero de 2003 por dicha autoridad, por considerar que el nombramiento del señor Casa Nina era de carácter provisional y que no desvirtuó los fundamentos de la decisión que lo cesó en el cargo. </w:t>
      </w:r>
    </w:p>
    <w:p w14:paraId="3C214B7A" w14:textId="77777777" w:rsidR="006B615D" w:rsidRDefault="006B615D" w:rsidP="00FE05A0">
      <w:pPr>
        <w:pStyle w:val="ListParagraph"/>
        <w:rPr>
          <w:sz w:val="20"/>
          <w:szCs w:val="20"/>
          <w:lang w:val="es-CO"/>
        </w:rPr>
      </w:pPr>
    </w:p>
    <w:p w14:paraId="64596BF2" w14:textId="77777777" w:rsidR="008A28A3" w:rsidRDefault="006B615D"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CL"/>
        </w:rPr>
      </w:pPr>
      <w:r w:rsidRPr="006D029F">
        <w:rPr>
          <w:rFonts w:ascii="Cambria" w:hAnsi="Cambria"/>
          <w:sz w:val="20"/>
          <w:szCs w:val="20"/>
          <w:lang w:val="es-CO"/>
        </w:rPr>
        <w:t>En cuanto a la vía constitucional</w:t>
      </w:r>
      <w:r w:rsidR="006D029F" w:rsidRPr="006D029F">
        <w:rPr>
          <w:rFonts w:ascii="Cambria" w:hAnsi="Cambria"/>
          <w:sz w:val="20"/>
          <w:szCs w:val="20"/>
          <w:lang w:val="es-CO"/>
        </w:rPr>
        <w:t>, la Comisión nota que la presunta víctima plante</w:t>
      </w:r>
      <w:r w:rsidR="006D029F">
        <w:rPr>
          <w:rFonts w:ascii="Cambria" w:hAnsi="Cambria"/>
          <w:sz w:val="20"/>
          <w:szCs w:val="20"/>
          <w:lang w:val="es-CO"/>
        </w:rPr>
        <w:t xml:space="preserve">ó un amparo ante </w:t>
      </w:r>
      <w:r w:rsidR="00FD5227">
        <w:rPr>
          <w:rFonts w:ascii="Cambria" w:hAnsi="Cambria"/>
          <w:sz w:val="20"/>
          <w:szCs w:val="20"/>
          <w:lang w:val="es-CO"/>
        </w:rPr>
        <w:t xml:space="preserve">el Primer Juzgado Especializado en lo Civil de Huamanga, el cual se declaró sin lugar el 19 de abril de 2005 al estimarse que la presunta víctima ejercía un cargo provisional, que la decisión adoptada por la Fiscal de la Nación no constituye medida disciplinaria y que no </w:t>
      </w:r>
      <w:r w:rsidR="00122233">
        <w:rPr>
          <w:rFonts w:ascii="Cambria" w:hAnsi="Cambria"/>
          <w:sz w:val="20"/>
          <w:szCs w:val="20"/>
          <w:lang w:val="es-CO"/>
        </w:rPr>
        <w:t>se</w:t>
      </w:r>
      <w:r w:rsidR="00FD5227">
        <w:rPr>
          <w:rFonts w:ascii="Cambria" w:hAnsi="Cambria"/>
          <w:sz w:val="20"/>
          <w:szCs w:val="20"/>
          <w:lang w:val="es-CO"/>
        </w:rPr>
        <w:t xml:space="preserve"> acreditó ninguna vulneración constitucional.  </w:t>
      </w:r>
    </w:p>
    <w:p w14:paraId="558F20F1" w14:textId="77777777" w:rsidR="008A28A3" w:rsidRPr="008A28A3" w:rsidRDefault="008A28A3"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themeColor="text1"/>
          <w:sz w:val="20"/>
          <w:szCs w:val="20"/>
          <w:lang w:val="es-CL"/>
        </w:rPr>
      </w:pPr>
    </w:p>
    <w:p w14:paraId="6EEFAB51" w14:textId="77777777" w:rsidR="006B615D" w:rsidRPr="006D029F" w:rsidRDefault="00FD5227"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CL"/>
        </w:rPr>
      </w:pPr>
      <w:r>
        <w:rPr>
          <w:rFonts w:ascii="Cambria" w:hAnsi="Cambria"/>
          <w:sz w:val="20"/>
          <w:szCs w:val="20"/>
          <w:lang w:val="es-CO"/>
        </w:rPr>
        <w:t>La presunta víctima apeló tal decisión, ante la Sala Especializada en lo Civil de la Corte Superior de Justicia de Ayacucho, la cual declaró sin lugar el recurso</w:t>
      </w:r>
      <w:r w:rsidR="008A28A3">
        <w:rPr>
          <w:rFonts w:ascii="Cambria" w:hAnsi="Cambria"/>
          <w:sz w:val="20"/>
          <w:szCs w:val="20"/>
          <w:lang w:val="es-CO"/>
        </w:rPr>
        <w:t xml:space="preserve"> el 11 de julio de 2005</w:t>
      </w:r>
      <w:r>
        <w:rPr>
          <w:rFonts w:ascii="Cambria" w:hAnsi="Cambria"/>
          <w:sz w:val="20"/>
          <w:szCs w:val="20"/>
          <w:lang w:val="es-CO"/>
        </w:rPr>
        <w:t xml:space="preserve"> por estimar que </w:t>
      </w:r>
      <w:r w:rsidR="008A28A3">
        <w:rPr>
          <w:rFonts w:ascii="Cambria" w:hAnsi="Cambria"/>
          <w:sz w:val="20"/>
          <w:szCs w:val="20"/>
          <w:lang w:val="es-CO"/>
        </w:rPr>
        <w:t xml:space="preserve">el actor pretende alegar derechos que corresponden a los fiscales titulares. </w:t>
      </w:r>
    </w:p>
    <w:p w14:paraId="7B8C4699" w14:textId="77777777" w:rsidR="00B46DA3" w:rsidRPr="008A28A3" w:rsidRDefault="00B46DA3" w:rsidP="00FE05A0">
      <w:pPr>
        <w:rPr>
          <w:sz w:val="20"/>
          <w:szCs w:val="20"/>
          <w:lang w:val="es-ES"/>
        </w:rPr>
      </w:pPr>
    </w:p>
    <w:p w14:paraId="4F7D454E" w14:textId="77777777" w:rsidR="002A15BE" w:rsidRDefault="002A15BE"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B46DA3">
        <w:rPr>
          <w:rFonts w:ascii="Cambria" w:hAnsi="Cambria"/>
          <w:sz w:val="20"/>
          <w:szCs w:val="20"/>
          <w:lang w:val="es-ES"/>
        </w:rPr>
        <w:t xml:space="preserve">Finalmente, la CIDH recuerda que la presunta víctima también planteó </w:t>
      </w:r>
      <w:r w:rsidR="00A16695" w:rsidRPr="00B46DA3">
        <w:rPr>
          <w:rFonts w:ascii="Cambria" w:hAnsi="Cambria"/>
          <w:sz w:val="20"/>
          <w:szCs w:val="20"/>
          <w:lang w:val="es-ES"/>
        </w:rPr>
        <w:t>agravio constitucional</w:t>
      </w:r>
      <w:r w:rsidR="008A28A3">
        <w:rPr>
          <w:rFonts w:ascii="Cambria" w:hAnsi="Cambria"/>
          <w:sz w:val="20"/>
          <w:szCs w:val="20"/>
          <w:lang w:val="es-ES"/>
        </w:rPr>
        <w:t xml:space="preserve"> ante el Tribunal Constitucional, el cual el 14 de noviembre de 2005 declaró infundada la demanda reiterando que la provisionalidad </w:t>
      </w:r>
      <w:r w:rsidR="00A16695" w:rsidRPr="008A28A3">
        <w:rPr>
          <w:rFonts w:ascii="Cambria" w:hAnsi="Cambria"/>
          <w:sz w:val="20"/>
          <w:szCs w:val="20"/>
          <w:lang w:val="es-ES"/>
        </w:rPr>
        <w:t>constituye una situaci</w:t>
      </w:r>
      <w:r w:rsidR="00647BA6" w:rsidRPr="008A28A3">
        <w:rPr>
          <w:rFonts w:ascii="Cambria" w:hAnsi="Cambria"/>
          <w:sz w:val="20"/>
          <w:szCs w:val="20"/>
          <w:lang w:val="es-ES"/>
        </w:rPr>
        <w:t>ón que no genera má</w:t>
      </w:r>
      <w:r w:rsidR="00A16695" w:rsidRPr="008A28A3">
        <w:rPr>
          <w:rFonts w:ascii="Cambria" w:hAnsi="Cambria"/>
          <w:sz w:val="20"/>
          <w:szCs w:val="20"/>
          <w:lang w:val="es-ES"/>
        </w:rPr>
        <w:t xml:space="preserve">s derechos </w:t>
      </w:r>
      <w:r w:rsidR="00647BA6" w:rsidRPr="008A28A3">
        <w:rPr>
          <w:rFonts w:ascii="Cambria" w:hAnsi="Cambria"/>
          <w:sz w:val="20"/>
          <w:szCs w:val="20"/>
          <w:lang w:val="es-ES"/>
        </w:rPr>
        <w:t>que los inherentes al cargo.</w:t>
      </w:r>
      <w:r w:rsidR="00A16695" w:rsidRPr="008A28A3">
        <w:rPr>
          <w:rFonts w:ascii="Cambria" w:hAnsi="Cambria"/>
          <w:sz w:val="20"/>
          <w:szCs w:val="20"/>
          <w:lang w:val="es-ES"/>
        </w:rPr>
        <w:t xml:space="preserve"> </w:t>
      </w:r>
    </w:p>
    <w:p w14:paraId="13D8A691" w14:textId="77777777" w:rsidR="008A28A3" w:rsidRDefault="008A28A3" w:rsidP="00FE05A0">
      <w:pPr>
        <w:pStyle w:val="ListParagraph"/>
        <w:rPr>
          <w:sz w:val="20"/>
          <w:szCs w:val="20"/>
          <w:lang w:val="es-ES"/>
        </w:rPr>
      </w:pPr>
    </w:p>
    <w:p w14:paraId="76D87B95" w14:textId="37DC3B57" w:rsidR="0044187F" w:rsidRPr="00365246" w:rsidRDefault="008A28A3"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Pr>
          <w:rFonts w:ascii="Cambria" w:hAnsi="Cambria"/>
          <w:sz w:val="20"/>
          <w:szCs w:val="20"/>
          <w:lang w:val="es-ES"/>
        </w:rPr>
        <w:t>En virtud de lo anterior, la Comisión estima que en ninguna de las vías intentadas por la presunta víctima contó con un recurso efectivo para impugnar la decisión que declaró la terminación de su nombramiento como F</w:t>
      </w:r>
      <w:r w:rsidRPr="00476437">
        <w:rPr>
          <w:rFonts w:ascii="Cambria" w:hAnsi="Cambria"/>
          <w:color w:val="000000" w:themeColor="text1"/>
          <w:sz w:val="20"/>
          <w:szCs w:val="20"/>
          <w:lang w:val="es-CL"/>
        </w:rPr>
        <w:t>iscal Adjunto Provincial Provisional del Distrito Judicial de Ayacucho</w:t>
      </w:r>
      <w:r>
        <w:rPr>
          <w:rFonts w:ascii="Cambria" w:hAnsi="Cambria"/>
          <w:color w:val="000000" w:themeColor="text1"/>
          <w:sz w:val="20"/>
          <w:szCs w:val="20"/>
          <w:lang w:val="es-CL"/>
        </w:rPr>
        <w:t xml:space="preserve"> y revisar las violaciones al debido proceso</w:t>
      </w:r>
      <w:r w:rsidR="00074AC9">
        <w:rPr>
          <w:rFonts w:ascii="Cambria" w:hAnsi="Cambria"/>
          <w:color w:val="000000" w:themeColor="text1"/>
          <w:sz w:val="20"/>
          <w:szCs w:val="20"/>
          <w:lang w:val="es-CL"/>
        </w:rPr>
        <w:t xml:space="preserve"> y al principio de legalidad</w:t>
      </w:r>
      <w:r>
        <w:rPr>
          <w:rFonts w:ascii="Cambria" w:hAnsi="Cambria"/>
          <w:color w:val="000000" w:themeColor="text1"/>
          <w:sz w:val="20"/>
          <w:szCs w:val="20"/>
          <w:lang w:val="es-CL"/>
        </w:rPr>
        <w:t xml:space="preserve"> que se originaron como consecuencia del cese de su cargo</w:t>
      </w:r>
      <w:r w:rsidR="00FB00E0">
        <w:rPr>
          <w:rFonts w:ascii="Cambria" w:hAnsi="Cambria"/>
          <w:color w:val="000000" w:themeColor="text1"/>
          <w:sz w:val="20"/>
          <w:szCs w:val="20"/>
          <w:lang w:val="es-CL"/>
        </w:rPr>
        <w:t>, en los términos analizados en el presente informe.</w:t>
      </w:r>
      <w:r>
        <w:rPr>
          <w:rFonts w:ascii="Cambria" w:hAnsi="Cambria"/>
          <w:color w:val="000000" w:themeColor="text1"/>
          <w:sz w:val="20"/>
          <w:szCs w:val="20"/>
          <w:lang w:val="es-CL"/>
        </w:rPr>
        <w:t xml:space="preserve"> </w:t>
      </w:r>
    </w:p>
    <w:p w14:paraId="171510A2" w14:textId="77777777" w:rsidR="00365246" w:rsidRDefault="00365246" w:rsidP="00365246">
      <w:pPr>
        <w:pStyle w:val="ListParagraph"/>
        <w:rPr>
          <w:sz w:val="20"/>
          <w:szCs w:val="20"/>
          <w:lang w:val="es-ES"/>
        </w:rPr>
      </w:pPr>
    </w:p>
    <w:p w14:paraId="0734FE86" w14:textId="77777777" w:rsidR="00365246" w:rsidRPr="00445099" w:rsidRDefault="00365246" w:rsidP="003652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6A0A0A5F" w14:textId="77777777" w:rsidR="0031538E" w:rsidRPr="00A45B06" w:rsidRDefault="002A15BE"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44187F">
        <w:rPr>
          <w:rFonts w:ascii="Cambria" w:hAnsi="Cambria"/>
          <w:sz w:val="20"/>
          <w:szCs w:val="20"/>
          <w:lang w:val="es-CO"/>
        </w:rPr>
        <w:t xml:space="preserve">En </w:t>
      </w:r>
      <w:r w:rsidRPr="0044187F">
        <w:rPr>
          <w:rFonts w:ascii="Cambria" w:hAnsi="Cambria"/>
          <w:sz w:val="20"/>
          <w:szCs w:val="20"/>
          <w:lang w:val="es-US"/>
        </w:rPr>
        <w:t>virtud</w:t>
      </w:r>
      <w:r w:rsidRPr="0044187F">
        <w:rPr>
          <w:rFonts w:ascii="Cambria" w:hAnsi="Cambria"/>
          <w:sz w:val="20"/>
          <w:szCs w:val="20"/>
          <w:lang w:val="es-CO"/>
        </w:rPr>
        <w:t xml:space="preserve"> de las razones anteriores, </w:t>
      </w:r>
      <w:r w:rsidRPr="0044187F">
        <w:rPr>
          <w:rFonts w:ascii="Cambria" w:hAnsi="Cambria"/>
          <w:sz w:val="20"/>
          <w:szCs w:val="20"/>
          <w:lang w:val="es-CL"/>
        </w:rPr>
        <w:t xml:space="preserve">la Comisión concluye que el Estado </w:t>
      </w:r>
      <w:r w:rsidR="003A3B6E" w:rsidRPr="0044187F">
        <w:rPr>
          <w:rFonts w:ascii="Cambria" w:hAnsi="Cambria"/>
          <w:sz w:val="20"/>
          <w:szCs w:val="20"/>
          <w:lang w:val="es-CL"/>
        </w:rPr>
        <w:t xml:space="preserve">peruano </w:t>
      </w:r>
      <w:r w:rsidRPr="0044187F">
        <w:rPr>
          <w:rFonts w:ascii="Cambria" w:hAnsi="Cambria"/>
          <w:sz w:val="20"/>
          <w:szCs w:val="20"/>
          <w:lang w:val="es-CL"/>
        </w:rPr>
        <w:t xml:space="preserve">violó </w:t>
      </w:r>
      <w:r w:rsidR="0044187F">
        <w:rPr>
          <w:rFonts w:ascii="Cambria" w:hAnsi="Cambria"/>
          <w:sz w:val="20"/>
          <w:szCs w:val="20"/>
          <w:lang w:val="es-CL"/>
        </w:rPr>
        <w:t xml:space="preserve">el </w:t>
      </w:r>
      <w:r w:rsidRPr="0044187F">
        <w:rPr>
          <w:rFonts w:ascii="Cambria" w:hAnsi="Cambria"/>
          <w:sz w:val="20"/>
          <w:szCs w:val="20"/>
          <w:lang w:val="es-CL"/>
        </w:rPr>
        <w:t xml:space="preserve">derecho a la protección judicial establecido en </w:t>
      </w:r>
      <w:r w:rsidR="0044187F">
        <w:rPr>
          <w:rFonts w:ascii="Cambria" w:hAnsi="Cambria"/>
          <w:sz w:val="20"/>
          <w:szCs w:val="20"/>
          <w:lang w:val="es-CL"/>
        </w:rPr>
        <w:t>el</w:t>
      </w:r>
      <w:r w:rsidRPr="0044187F">
        <w:rPr>
          <w:rFonts w:ascii="Cambria" w:hAnsi="Cambria"/>
          <w:sz w:val="20"/>
          <w:szCs w:val="20"/>
          <w:lang w:val="es-CL"/>
        </w:rPr>
        <w:t xml:space="preserve"> artículo 25.1 de la Convención Americana en relación con las obligaciones establecidas en el artículo 1.1 </w:t>
      </w:r>
      <w:r w:rsidR="0044187F">
        <w:rPr>
          <w:rFonts w:ascii="Cambria" w:hAnsi="Cambria"/>
          <w:sz w:val="20"/>
          <w:szCs w:val="20"/>
          <w:lang w:val="es-CL"/>
        </w:rPr>
        <w:t xml:space="preserve">del </w:t>
      </w:r>
      <w:r w:rsidRPr="0044187F">
        <w:rPr>
          <w:rFonts w:ascii="Cambria" w:hAnsi="Cambria"/>
          <w:sz w:val="20"/>
          <w:szCs w:val="20"/>
          <w:lang w:val="es-CL"/>
        </w:rPr>
        <w:t xml:space="preserve">mismo instrumento, en perjuicio de </w:t>
      </w:r>
      <w:r w:rsidR="003A3B6E" w:rsidRPr="0044187F">
        <w:rPr>
          <w:rFonts w:ascii="Cambria" w:hAnsi="Cambria"/>
          <w:sz w:val="20"/>
          <w:szCs w:val="20"/>
          <w:lang w:val="es-CL"/>
        </w:rPr>
        <w:t>Julio Casa Nina</w:t>
      </w:r>
      <w:r w:rsidR="004D3001" w:rsidRPr="0044187F">
        <w:rPr>
          <w:rFonts w:ascii="Cambria" w:hAnsi="Cambria"/>
          <w:sz w:val="20"/>
          <w:szCs w:val="20"/>
          <w:lang w:val="es-CL"/>
        </w:rPr>
        <w:t>.</w:t>
      </w:r>
    </w:p>
    <w:p w14:paraId="1E3CD979" w14:textId="77777777" w:rsidR="00A45B06" w:rsidRPr="0044187F" w:rsidRDefault="00A45B06" w:rsidP="00B606E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1F6FAD35" w14:textId="77777777" w:rsidR="0031538E" w:rsidRPr="001E3078" w:rsidRDefault="0031538E" w:rsidP="00594BFD">
      <w:pPr>
        <w:pStyle w:val="Heading2"/>
        <w:numPr>
          <w:ilvl w:val="0"/>
          <w:numId w:val="60"/>
        </w:numPr>
        <w:spacing w:before="0" w:after="0"/>
        <w:ind w:left="1440" w:hanging="720"/>
        <w:jc w:val="both"/>
        <w:rPr>
          <w:rFonts w:ascii="Cambria" w:hAnsi="Cambria"/>
          <w:i w:val="0"/>
          <w:sz w:val="20"/>
          <w:szCs w:val="20"/>
          <w:lang w:val="es-ES"/>
        </w:rPr>
      </w:pPr>
      <w:bookmarkStart w:id="24" w:name="_Toc521483548"/>
      <w:bookmarkStart w:id="25" w:name="_Toc484439867"/>
      <w:r w:rsidRPr="00594BFD">
        <w:rPr>
          <w:rFonts w:ascii="Cambria" w:hAnsi="Cambria"/>
          <w:i w:val="0"/>
          <w:sz w:val="20"/>
          <w:szCs w:val="20"/>
          <w:lang w:val="es-ES_tradnl"/>
        </w:rPr>
        <w:t>Los</w:t>
      </w:r>
      <w:r w:rsidRPr="001E3078">
        <w:rPr>
          <w:rFonts w:ascii="Cambria" w:hAnsi="Cambria"/>
          <w:i w:val="0"/>
          <w:sz w:val="20"/>
          <w:szCs w:val="20"/>
          <w:lang w:val="es-ES"/>
        </w:rPr>
        <w:t xml:space="preserve"> derechos políticos</w:t>
      </w:r>
      <w:r w:rsidR="00FC7848" w:rsidRPr="001E3078">
        <w:rPr>
          <w:rFonts w:ascii="Cambria" w:hAnsi="Cambria"/>
          <w:i w:val="0"/>
          <w:sz w:val="20"/>
          <w:szCs w:val="20"/>
          <w:vertAlign w:val="superscript"/>
        </w:rPr>
        <w:footnoteReference w:id="46"/>
      </w:r>
      <w:bookmarkEnd w:id="24"/>
      <w:r w:rsidRPr="001E3078">
        <w:rPr>
          <w:rFonts w:ascii="Cambria" w:hAnsi="Cambria"/>
          <w:i w:val="0"/>
          <w:sz w:val="20"/>
          <w:szCs w:val="20"/>
          <w:lang w:val="es-ES"/>
        </w:rPr>
        <w:t xml:space="preserve"> </w:t>
      </w:r>
      <w:bookmarkEnd w:id="25"/>
    </w:p>
    <w:p w14:paraId="1A549137" w14:textId="77777777" w:rsidR="0031538E" w:rsidRPr="001E3078" w:rsidRDefault="0031538E" w:rsidP="00FE05A0">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Times New Roman"/>
          <w:sz w:val="20"/>
          <w:szCs w:val="20"/>
          <w:lang w:val="es-ES"/>
        </w:rPr>
      </w:pPr>
    </w:p>
    <w:p w14:paraId="39539EFB" w14:textId="77777777" w:rsidR="0031538E" w:rsidRPr="00AC390B" w:rsidRDefault="0031538E"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1E3078">
        <w:rPr>
          <w:rFonts w:ascii="Cambria" w:hAnsi="Cambria"/>
          <w:bCs/>
          <w:sz w:val="20"/>
          <w:szCs w:val="20"/>
          <w:lang w:val="es-CO"/>
        </w:rPr>
        <w:t>El artículo 23.1.c establece el derecho de  acceder a cargos públicos “en condiciones de igualdad”. La Corte ha interpretado este artículo indicando que c</w:t>
      </w:r>
      <w:r w:rsidRPr="001E3078">
        <w:rPr>
          <w:rFonts w:ascii="Cambria" w:eastAsia="Times New Roman" w:hAnsi="Cambria"/>
          <w:sz w:val="20"/>
          <w:szCs w:val="20"/>
          <w:lang w:val="es-MX"/>
        </w:rPr>
        <w:t>uando se afecta en forma arbitraria la permanencia de los jueces y las juezas en su cargo, se vulnera el derecho a la independencia judicial consagrado en el artículo 8.1 de la Convención Americana, en conjunción con el derecho de acceso y permanencia en condiciones generales de igualdad en un cargo público, establecido en el artículo 23.1.c”</w:t>
      </w:r>
      <w:r w:rsidRPr="001E3078">
        <w:rPr>
          <w:rStyle w:val="FootnoteReference"/>
          <w:rFonts w:ascii="Cambria" w:hAnsi="Cambria"/>
          <w:sz w:val="20"/>
          <w:szCs w:val="20"/>
          <w:lang w:val="es-CO"/>
        </w:rPr>
        <w:t xml:space="preserve"> </w:t>
      </w:r>
      <w:r w:rsidRPr="001E3078">
        <w:rPr>
          <w:rStyle w:val="FootnoteReference"/>
          <w:rFonts w:ascii="Cambria" w:hAnsi="Cambria"/>
          <w:sz w:val="20"/>
          <w:szCs w:val="20"/>
          <w:lang w:val="es-CO"/>
        </w:rPr>
        <w:footnoteReference w:id="47"/>
      </w:r>
      <w:r w:rsidRPr="001E3078">
        <w:rPr>
          <w:rFonts w:ascii="Cambria" w:eastAsia="Times New Roman" w:hAnsi="Cambria"/>
          <w:sz w:val="20"/>
          <w:szCs w:val="20"/>
          <w:lang w:val="es-MX"/>
        </w:rPr>
        <w:t>.</w:t>
      </w:r>
    </w:p>
    <w:p w14:paraId="5806DF45" w14:textId="77777777" w:rsidR="00AC390B" w:rsidRPr="00AC390B" w:rsidRDefault="00AC390B"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lang w:val="es-CO"/>
        </w:rPr>
      </w:pPr>
    </w:p>
    <w:p w14:paraId="1AB03CF9" w14:textId="77777777" w:rsidR="00AC390B" w:rsidRDefault="00AC390B"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Pr>
          <w:rFonts w:ascii="Cambria" w:hAnsi="Cambria"/>
          <w:bCs/>
          <w:sz w:val="20"/>
          <w:szCs w:val="20"/>
          <w:lang w:val="es-CO"/>
        </w:rPr>
        <w:t xml:space="preserve">La Comisión estima que el estándar indicado también resulta aplicable a fiscales, a la luz de lo indicado en el presente informe respecto a que </w:t>
      </w:r>
      <w:r w:rsidRPr="00AC390B">
        <w:rPr>
          <w:rFonts w:ascii="Cambria" w:hAnsi="Cambria"/>
          <w:bCs/>
          <w:sz w:val="20"/>
          <w:szCs w:val="20"/>
          <w:lang w:val="es-CO"/>
        </w:rPr>
        <w:t xml:space="preserve">las garantías de estabilidad reforzada de jueces </w:t>
      </w:r>
      <w:r>
        <w:rPr>
          <w:rFonts w:ascii="Cambria" w:hAnsi="Cambria"/>
          <w:bCs/>
          <w:sz w:val="20"/>
          <w:szCs w:val="20"/>
          <w:lang w:val="es-CO"/>
        </w:rPr>
        <w:t xml:space="preserve">también son </w:t>
      </w:r>
      <w:r w:rsidR="00ED0844">
        <w:rPr>
          <w:rFonts w:ascii="Cambria" w:hAnsi="Cambria"/>
          <w:bCs/>
          <w:sz w:val="20"/>
          <w:szCs w:val="20"/>
          <w:lang w:val="es-CO"/>
        </w:rPr>
        <w:t>aplicables</w:t>
      </w:r>
      <w:r>
        <w:rPr>
          <w:rFonts w:ascii="Cambria" w:hAnsi="Cambria"/>
          <w:bCs/>
          <w:sz w:val="20"/>
          <w:szCs w:val="20"/>
          <w:lang w:val="es-CO"/>
        </w:rPr>
        <w:t xml:space="preserve"> y deben proteger a fiscales para garantizar la independencia en el ejercicio de su cargo.</w:t>
      </w:r>
    </w:p>
    <w:p w14:paraId="761FED4D" w14:textId="77777777" w:rsidR="00AC390B" w:rsidRDefault="00AC390B" w:rsidP="00FE05A0">
      <w:pPr>
        <w:pStyle w:val="ListParagraph"/>
        <w:rPr>
          <w:bCs/>
          <w:sz w:val="20"/>
          <w:szCs w:val="20"/>
          <w:lang w:val="es-CO"/>
        </w:rPr>
      </w:pPr>
    </w:p>
    <w:p w14:paraId="41DFA2CD" w14:textId="77777777" w:rsidR="0031538E" w:rsidRDefault="00AC390B"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Pr>
          <w:rFonts w:ascii="Cambria" w:hAnsi="Cambria"/>
          <w:bCs/>
          <w:sz w:val="20"/>
          <w:szCs w:val="20"/>
          <w:lang w:val="es-CO"/>
        </w:rPr>
        <w:t>En el presente caso ha quedado establecido que el señor Casa Nina fue separado de su cargo de fiscal provisional en un procedimiento en el cual no se cumpli</w:t>
      </w:r>
      <w:r w:rsidR="000B1705">
        <w:rPr>
          <w:rFonts w:ascii="Cambria" w:hAnsi="Cambria"/>
          <w:bCs/>
          <w:sz w:val="20"/>
          <w:szCs w:val="20"/>
          <w:lang w:val="es-CO"/>
        </w:rPr>
        <w:t>eron las garantías mínimas requeridas</w:t>
      </w:r>
      <w:r>
        <w:rPr>
          <w:rFonts w:ascii="Cambria" w:hAnsi="Cambria"/>
          <w:bCs/>
          <w:sz w:val="20"/>
          <w:szCs w:val="20"/>
          <w:lang w:val="es-CO"/>
        </w:rPr>
        <w:t>, en los términos descritos a lo largo de</w:t>
      </w:r>
      <w:r w:rsidR="00D557F8">
        <w:rPr>
          <w:rFonts w:ascii="Cambria" w:hAnsi="Cambria"/>
          <w:bCs/>
          <w:sz w:val="20"/>
          <w:szCs w:val="20"/>
          <w:lang w:val="es-CO"/>
        </w:rPr>
        <w:t xml:space="preserve">l presente </w:t>
      </w:r>
      <w:r>
        <w:rPr>
          <w:rFonts w:ascii="Cambria" w:hAnsi="Cambria"/>
          <w:bCs/>
          <w:sz w:val="20"/>
          <w:szCs w:val="20"/>
          <w:lang w:val="es-CO"/>
        </w:rPr>
        <w:t xml:space="preserve">informe. En tales circunstancias y en consistencia con el criterio mencionado en el párrafo anterior, la Comisión considera que el Estado también violó el artículo 23.1 c) de la Convención Americana, en relación con el artículo 1.1 del mismo instrumento, en perjuicio de Julio Casa Nina. </w:t>
      </w:r>
    </w:p>
    <w:p w14:paraId="3B7567D1" w14:textId="77777777" w:rsidR="00B606EE" w:rsidRPr="00AC390B" w:rsidRDefault="00B606EE" w:rsidP="00B606E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Cs/>
          <w:sz w:val="20"/>
          <w:szCs w:val="20"/>
          <w:lang w:val="es-CO"/>
        </w:rPr>
      </w:pPr>
    </w:p>
    <w:p w14:paraId="221C927F" w14:textId="77777777" w:rsidR="00D12193" w:rsidRPr="004A17F9" w:rsidRDefault="00D12193" w:rsidP="00FE05A0">
      <w:pPr>
        <w:pStyle w:val="Heading1"/>
        <w:spacing w:before="0"/>
        <w:ind w:firstLine="0"/>
        <w:rPr>
          <w:color w:val="auto"/>
          <w:sz w:val="20"/>
          <w:szCs w:val="20"/>
          <w:lang w:val="es-ES_tradnl"/>
        </w:rPr>
      </w:pPr>
      <w:bookmarkStart w:id="26" w:name="_Toc521483549"/>
      <w:r w:rsidRPr="004A17F9">
        <w:rPr>
          <w:color w:val="auto"/>
          <w:sz w:val="20"/>
          <w:szCs w:val="20"/>
          <w:lang w:val="es-ES_tradnl"/>
        </w:rPr>
        <w:t>CONCLUSIONES Y RECOMENDACIONES</w:t>
      </w:r>
      <w:bookmarkEnd w:id="26"/>
      <w:r w:rsidRPr="004A17F9">
        <w:rPr>
          <w:color w:val="auto"/>
          <w:sz w:val="20"/>
          <w:szCs w:val="20"/>
          <w:lang w:val="es-ES_tradnl"/>
        </w:rPr>
        <w:t xml:space="preserve"> </w:t>
      </w:r>
    </w:p>
    <w:p w14:paraId="3D2CD63F" w14:textId="77777777" w:rsidR="004D3001" w:rsidRDefault="004D3001" w:rsidP="00FE05A0">
      <w:pPr>
        <w:pStyle w:val="ListParagraph"/>
        <w:rPr>
          <w:b/>
          <w:sz w:val="20"/>
          <w:szCs w:val="20"/>
          <w:lang w:val="es-ES_tradnl"/>
        </w:rPr>
      </w:pPr>
    </w:p>
    <w:p w14:paraId="7C240CFE" w14:textId="77777777" w:rsidR="00755C3D" w:rsidRDefault="0000024E"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5558DF">
        <w:rPr>
          <w:rFonts w:ascii="Cambria" w:hAnsi="Cambria"/>
          <w:bCs/>
          <w:sz w:val="20"/>
          <w:szCs w:val="20"/>
          <w:lang w:val="es-CO"/>
        </w:rPr>
        <w:t xml:space="preserve">La Comisión concluye </w:t>
      </w:r>
      <w:r w:rsidR="00D71231" w:rsidRPr="005558DF">
        <w:rPr>
          <w:rFonts w:ascii="Cambria" w:hAnsi="Cambria"/>
          <w:bCs/>
          <w:sz w:val="20"/>
          <w:szCs w:val="20"/>
          <w:lang w:val="es-CO"/>
        </w:rPr>
        <w:t xml:space="preserve">que el Estado peruano </w:t>
      </w:r>
      <w:r w:rsidRPr="005558DF">
        <w:rPr>
          <w:rFonts w:ascii="Cambria" w:hAnsi="Cambria"/>
          <w:bCs/>
          <w:sz w:val="20"/>
          <w:szCs w:val="20"/>
          <w:lang w:val="es-CO"/>
        </w:rPr>
        <w:t>es responsable por la violación del derecho  a las garantías judiciales, al principio de legalidad y a la protección judicial, consagrados</w:t>
      </w:r>
      <w:r w:rsidR="00D71231" w:rsidRPr="005558DF">
        <w:rPr>
          <w:rFonts w:ascii="Cambria" w:hAnsi="Cambria"/>
          <w:bCs/>
          <w:sz w:val="20"/>
          <w:szCs w:val="20"/>
          <w:lang w:val="es-CO"/>
        </w:rPr>
        <w:t xml:space="preserve"> en los artículos </w:t>
      </w:r>
      <w:r w:rsidR="006B149C" w:rsidRPr="005558DF">
        <w:rPr>
          <w:rFonts w:ascii="Cambria" w:hAnsi="Cambria"/>
          <w:bCs/>
          <w:sz w:val="20"/>
          <w:szCs w:val="20"/>
          <w:lang w:val="es-CO"/>
        </w:rPr>
        <w:t xml:space="preserve">8.1, </w:t>
      </w:r>
      <w:r w:rsidR="00426B45">
        <w:rPr>
          <w:rFonts w:ascii="Cambria" w:hAnsi="Cambria"/>
          <w:bCs/>
          <w:sz w:val="20"/>
          <w:szCs w:val="20"/>
          <w:lang w:val="es-CO"/>
        </w:rPr>
        <w:t xml:space="preserve">8.2, </w:t>
      </w:r>
      <w:r w:rsidRPr="005558DF">
        <w:rPr>
          <w:rFonts w:ascii="Cambria" w:hAnsi="Cambria"/>
          <w:bCs/>
          <w:sz w:val="20"/>
          <w:szCs w:val="20"/>
          <w:lang w:val="es-CO"/>
        </w:rPr>
        <w:t>8.2 b), 8.2 c), 9</w:t>
      </w:r>
      <w:r w:rsidR="004E74B0">
        <w:rPr>
          <w:rFonts w:ascii="Cambria" w:hAnsi="Cambria"/>
          <w:bCs/>
          <w:sz w:val="20"/>
          <w:szCs w:val="20"/>
          <w:lang w:val="es-CO"/>
        </w:rPr>
        <w:t>, 23.1 c)</w:t>
      </w:r>
      <w:r w:rsidRPr="005558DF">
        <w:rPr>
          <w:rFonts w:ascii="Cambria" w:hAnsi="Cambria"/>
          <w:bCs/>
          <w:sz w:val="20"/>
          <w:szCs w:val="20"/>
          <w:lang w:val="es-CO"/>
        </w:rPr>
        <w:t xml:space="preserve"> y 25.1 de la Convención Americana, en relación con las obligaciones establecidas en los artículos 1.1 y 2 del mismo instrumento, en perjuicio de </w:t>
      </w:r>
      <w:r w:rsidR="000A0D5F" w:rsidRPr="005558DF">
        <w:rPr>
          <w:rFonts w:ascii="Cambria" w:hAnsi="Cambria"/>
          <w:bCs/>
          <w:sz w:val="20"/>
          <w:szCs w:val="20"/>
          <w:lang w:val="es-CO"/>
        </w:rPr>
        <w:t>Julio Casa Nina</w:t>
      </w:r>
      <w:r w:rsidR="00755C3D">
        <w:rPr>
          <w:rFonts w:ascii="Cambria" w:hAnsi="Cambria"/>
          <w:bCs/>
          <w:sz w:val="20"/>
          <w:szCs w:val="20"/>
          <w:lang w:val="es-CO"/>
        </w:rPr>
        <w:t>.</w:t>
      </w:r>
    </w:p>
    <w:p w14:paraId="0E1371E0" w14:textId="77777777" w:rsidR="00755C3D" w:rsidRDefault="00755C3D"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lang w:val="es-CO"/>
        </w:rPr>
      </w:pPr>
    </w:p>
    <w:p w14:paraId="0C712EAF" w14:textId="77777777" w:rsidR="000E035F" w:rsidRDefault="000E035F"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lang w:val="es-CO"/>
        </w:rPr>
      </w:pPr>
    </w:p>
    <w:p w14:paraId="6D18AD9D" w14:textId="77777777" w:rsidR="000E035F" w:rsidRDefault="000E035F"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lang w:val="es-CO"/>
        </w:rPr>
      </w:pPr>
    </w:p>
    <w:p w14:paraId="66C94928" w14:textId="77777777" w:rsidR="000E035F" w:rsidRDefault="000E035F" w:rsidP="00FE05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lang w:val="es-CO"/>
        </w:rPr>
      </w:pPr>
    </w:p>
    <w:p w14:paraId="1B044CC2" w14:textId="77777777" w:rsidR="000A0D5F" w:rsidRPr="00755C3D" w:rsidRDefault="0000024E" w:rsidP="00FE0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755C3D">
        <w:rPr>
          <w:rFonts w:ascii="Cambria" w:hAnsi="Cambria"/>
          <w:bCs/>
          <w:sz w:val="20"/>
          <w:szCs w:val="20"/>
          <w:lang w:val="es-CO"/>
        </w:rPr>
        <w:t>Con fundamento en el análisis y las conclusiones del presente informe,</w:t>
      </w:r>
    </w:p>
    <w:p w14:paraId="0F0172AA" w14:textId="77777777" w:rsidR="00006896" w:rsidRPr="0000024E" w:rsidRDefault="00006896" w:rsidP="00FE05A0">
      <w:pPr>
        <w:suppressAutoHyphens/>
        <w:jc w:val="both"/>
        <w:rPr>
          <w:rFonts w:asciiTheme="majorHAnsi" w:hAnsiTheme="majorHAnsi"/>
          <w:sz w:val="20"/>
          <w:szCs w:val="20"/>
          <w:lang w:val="es-VE"/>
        </w:rPr>
      </w:pPr>
    </w:p>
    <w:p w14:paraId="4598A279" w14:textId="77777777" w:rsidR="00006896" w:rsidRPr="000A0D5F" w:rsidRDefault="00006896" w:rsidP="00FE05A0">
      <w:pPr>
        <w:ind w:firstLine="720"/>
        <w:jc w:val="both"/>
        <w:rPr>
          <w:rFonts w:ascii="Cambria" w:hAnsi="Cambria"/>
          <w:b/>
          <w:sz w:val="20"/>
          <w:szCs w:val="20"/>
          <w:lang w:val="es-ES_tradnl"/>
        </w:rPr>
      </w:pPr>
      <w:r w:rsidRPr="00CB025A">
        <w:rPr>
          <w:rFonts w:ascii="Cambria" w:hAnsi="Cambria"/>
          <w:b/>
          <w:sz w:val="20"/>
          <w:szCs w:val="20"/>
          <w:lang w:val="es-ES_tradnl"/>
        </w:rPr>
        <w:tab/>
        <w:t xml:space="preserve">LA COMISIÓN INTERAMERICANA DE DERECHOS HUMANOS, RECOMIENDA AL ESTADO </w:t>
      </w:r>
      <w:r w:rsidRPr="000A0D5F">
        <w:rPr>
          <w:rFonts w:ascii="Cambria" w:hAnsi="Cambria"/>
          <w:b/>
          <w:sz w:val="20"/>
          <w:szCs w:val="20"/>
          <w:lang w:val="es-ES_tradnl"/>
        </w:rPr>
        <w:t xml:space="preserve">DE </w:t>
      </w:r>
      <w:r w:rsidR="000A0D5F" w:rsidRPr="000A0D5F">
        <w:rPr>
          <w:rFonts w:ascii="Cambria" w:hAnsi="Cambria"/>
          <w:b/>
          <w:sz w:val="20"/>
          <w:szCs w:val="20"/>
          <w:lang w:val="es-ES_tradnl"/>
        </w:rPr>
        <w:t>PERÚ</w:t>
      </w:r>
      <w:r w:rsidRPr="000A0D5F">
        <w:rPr>
          <w:rFonts w:ascii="Cambria" w:hAnsi="Cambria"/>
          <w:b/>
          <w:sz w:val="20"/>
          <w:szCs w:val="20"/>
          <w:lang w:val="es-ES_tradnl"/>
        </w:rPr>
        <w:t>,</w:t>
      </w:r>
    </w:p>
    <w:p w14:paraId="0B9DD713" w14:textId="77777777" w:rsidR="00006896" w:rsidRPr="00CB025A" w:rsidRDefault="00006896" w:rsidP="00FE05A0">
      <w:pPr>
        <w:ind w:firstLine="720"/>
        <w:jc w:val="both"/>
        <w:rPr>
          <w:rFonts w:ascii="Cambria" w:hAnsi="Cambria"/>
          <w:b/>
          <w:sz w:val="20"/>
          <w:szCs w:val="20"/>
          <w:lang w:val="es-ES_tradnl"/>
        </w:rPr>
      </w:pPr>
    </w:p>
    <w:p w14:paraId="4150A295" w14:textId="5008B03B" w:rsidR="000A0D5F" w:rsidRPr="00BE36B6" w:rsidRDefault="000A0D5F" w:rsidP="00FE05A0">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cs="Verdana"/>
          <w:sz w:val="20"/>
          <w:szCs w:val="20"/>
          <w:lang w:val="es-VE"/>
        </w:rPr>
      </w:pPr>
      <w:r w:rsidRPr="000A0D5F">
        <w:rPr>
          <w:spacing w:val="-2"/>
          <w:sz w:val="20"/>
          <w:szCs w:val="20"/>
          <w:lang w:val="es-CO"/>
        </w:rPr>
        <w:t>Reincorporar a la víctima en un cargo similar al que desempeñaba, con la misma remuneración, beneficios sociales y rango equiparable al que le correspondería el día de hoy si no hubiera</w:t>
      </w:r>
      <w:r w:rsidR="00BE36B6">
        <w:rPr>
          <w:spacing w:val="-2"/>
          <w:sz w:val="20"/>
          <w:szCs w:val="20"/>
          <w:lang w:val="es-CO"/>
        </w:rPr>
        <w:t xml:space="preserve"> sido cesado</w:t>
      </w:r>
      <w:r w:rsidRPr="000A0D5F">
        <w:rPr>
          <w:spacing w:val="-2"/>
          <w:sz w:val="20"/>
          <w:szCs w:val="20"/>
          <w:lang w:val="es-CO"/>
        </w:rPr>
        <w:t xml:space="preserve">. En caso de que esta no sea la voluntad de la víctima o que existan razones objetivas que impidan la reincorporación, el Estado deberá pagar una indemnización por este motivo, que es independiente de las reparaciones relativas al daño material y moral incluidas en la recomendación número dos. </w:t>
      </w:r>
    </w:p>
    <w:p w14:paraId="4D7A0E30" w14:textId="77777777" w:rsidR="00BE36B6" w:rsidRPr="000A0D5F" w:rsidRDefault="00BE36B6" w:rsidP="00FE05A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cs="Verdana"/>
          <w:sz w:val="20"/>
          <w:szCs w:val="20"/>
          <w:lang w:val="es-VE"/>
        </w:rPr>
      </w:pPr>
    </w:p>
    <w:p w14:paraId="5E7F1C08" w14:textId="77777777" w:rsidR="000A0D5F" w:rsidRPr="000A0D5F" w:rsidRDefault="000A0D5F" w:rsidP="00FE05A0">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cs="Verdana"/>
          <w:sz w:val="20"/>
          <w:szCs w:val="20"/>
          <w:lang w:val="es-VE"/>
        </w:rPr>
      </w:pPr>
      <w:r w:rsidRPr="000A0D5F">
        <w:rPr>
          <w:spacing w:val="-2"/>
          <w:sz w:val="20"/>
          <w:szCs w:val="20"/>
          <w:lang w:val="es-CO"/>
        </w:rPr>
        <w:t xml:space="preserve">Reparar integralmente las consecuencias de las violaciones declaradas en el presente informe, incluyendo tanto el daño material como el daño inmaterial. </w:t>
      </w:r>
    </w:p>
    <w:p w14:paraId="4D633B84" w14:textId="77777777" w:rsidR="000A0D5F" w:rsidRPr="000A0D5F" w:rsidRDefault="000A0D5F" w:rsidP="00FE05A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cs="Verdana"/>
          <w:sz w:val="20"/>
          <w:szCs w:val="20"/>
          <w:lang w:val="es-VE"/>
        </w:rPr>
      </w:pPr>
    </w:p>
    <w:p w14:paraId="72EF2445" w14:textId="77777777" w:rsidR="000A0D5F" w:rsidRDefault="000A0D5F" w:rsidP="00FE05A0">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pacing w:val="-2"/>
          <w:sz w:val="20"/>
          <w:szCs w:val="20"/>
          <w:lang w:val="es-CO"/>
        </w:rPr>
      </w:pPr>
      <w:r w:rsidRPr="000A0D5F">
        <w:rPr>
          <w:spacing w:val="-2"/>
          <w:sz w:val="20"/>
          <w:szCs w:val="20"/>
          <w:lang w:val="es-CO"/>
        </w:rPr>
        <w:t xml:space="preserve">Adoptar medidas de no repetición necesarias para evitar que en el futuro se produzcan hechos similares. En particular, </w:t>
      </w:r>
      <w:r w:rsidR="00000B60">
        <w:rPr>
          <w:spacing w:val="-2"/>
          <w:sz w:val="20"/>
          <w:szCs w:val="20"/>
          <w:lang w:val="es-CO"/>
        </w:rPr>
        <w:t xml:space="preserve">asegurar la </w:t>
      </w:r>
      <w:r w:rsidRPr="00000B60">
        <w:rPr>
          <w:spacing w:val="-2"/>
          <w:sz w:val="20"/>
          <w:szCs w:val="20"/>
          <w:lang w:val="es-CO"/>
        </w:rPr>
        <w:t>aplicación de las reglas del debido proceso en el marco de procesos de destitución o cese de fiscales, independientemente</w:t>
      </w:r>
      <w:r w:rsidR="00B378E2" w:rsidRPr="00000B60">
        <w:rPr>
          <w:spacing w:val="-2"/>
          <w:sz w:val="20"/>
          <w:szCs w:val="20"/>
          <w:lang w:val="es-CO"/>
        </w:rPr>
        <w:t xml:space="preserve"> de que sean o no provisionales</w:t>
      </w:r>
      <w:r w:rsidR="00000B60">
        <w:rPr>
          <w:spacing w:val="-2"/>
          <w:sz w:val="20"/>
          <w:szCs w:val="20"/>
          <w:lang w:val="es-CO"/>
        </w:rPr>
        <w:t xml:space="preserve">. </w:t>
      </w:r>
    </w:p>
    <w:p w14:paraId="5B4F6BCB" w14:textId="77777777" w:rsidR="005421DD" w:rsidRPr="005421DD" w:rsidRDefault="005421DD" w:rsidP="00FE05A0">
      <w:pPr>
        <w:pStyle w:val="ListParagraph"/>
        <w:rPr>
          <w:spacing w:val="-2"/>
          <w:sz w:val="20"/>
          <w:szCs w:val="20"/>
          <w:lang w:val="es-CO"/>
        </w:rPr>
      </w:pPr>
    </w:p>
    <w:p w14:paraId="10E726FC" w14:textId="77777777" w:rsidR="005421DD" w:rsidRDefault="005421DD" w:rsidP="00FE05A0">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pacing w:val="-2"/>
          <w:sz w:val="20"/>
          <w:szCs w:val="20"/>
          <w:lang w:val="es-CO"/>
        </w:rPr>
      </w:pPr>
      <w:r>
        <w:rPr>
          <w:spacing w:val="-2"/>
          <w:sz w:val="20"/>
          <w:szCs w:val="20"/>
          <w:lang w:val="es-CO"/>
        </w:rPr>
        <w:t xml:space="preserve">Adoptar las medidas necesarias para que la normativa interna y la práctica relevante obedezcan a criterios claros y aseguren garantías en el nombramiento, permanencia y remoción de fiscales, conforme a los criterios establecidos en el presente informe. </w:t>
      </w:r>
    </w:p>
    <w:p w14:paraId="3A524690" w14:textId="77777777" w:rsidR="00003FBD" w:rsidRDefault="00003FBD" w:rsidP="00003FBD">
      <w:pPr>
        <w:pStyle w:val="ListParagraph"/>
        <w:rPr>
          <w:rFonts w:eastAsia="Times New Roman"/>
          <w:sz w:val="20"/>
          <w:szCs w:val="20"/>
          <w:lang w:val="es-ES"/>
        </w:rPr>
      </w:pPr>
    </w:p>
    <w:p w14:paraId="0169CDB2" w14:textId="6EC89B16" w:rsidR="00003FBD" w:rsidRDefault="00003FBD" w:rsidP="00003FBD">
      <w:pPr>
        <w:ind w:firstLine="720"/>
        <w:jc w:val="both"/>
        <w:rPr>
          <w:rFonts w:ascii="Cambria" w:hAnsi="Cambria"/>
          <w:spacing w:val="-2"/>
          <w:sz w:val="20"/>
          <w:szCs w:val="20"/>
          <w:lang w:val="es-CL"/>
        </w:rPr>
      </w:pPr>
      <w:r>
        <w:rPr>
          <w:rFonts w:ascii="Cambria" w:hAnsi="Cambria"/>
          <w:spacing w:val="-2"/>
          <w:sz w:val="20"/>
          <w:szCs w:val="20"/>
          <w:lang w:val="es-CL"/>
        </w:rPr>
        <w:t>Aprobado por la Comisión Interamericana de Derechos Humanos en la ciudad de Boulder, Colorado, a los 5 días del mes de octubre de 2018.  (Firmado): Margarette May Macaulay, Presidenta; Esmeralda Arosemena de Troitiño, Primera Vicepresidenta; Joel Hernández García, Antonia Urrejola y Flavia Piovesan, Miembros de la Comisión.</w:t>
      </w:r>
      <w:r>
        <w:rPr>
          <w:rFonts w:ascii="Cambria" w:hAnsi="Cambria"/>
          <w:sz w:val="20"/>
          <w:szCs w:val="20"/>
          <w:lang w:val="es-CL"/>
        </w:rPr>
        <w:t xml:space="preserve"> </w:t>
      </w:r>
    </w:p>
    <w:p w14:paraId="5304CECD" w14:textId="77777777" w:rsidR="00003FBD" w:rsidRPr="00A35560" w:rsidRDefault="00003FBD" w:rsidP="00003FBD">
      <w:pPr>
        <w:ind w:firstLine="720"/>
        <w:jc w:val="both"/>
        <w:rPr>
          <w:rFonts w:asciiTheme="majorHAnsi" w:hAnsiTheme="majorHAnsi"/>
          <w:spacing w:val="-2"/>
          <w:sz w:val="20"/>
          <w:szCs w:val="20"/>
          <w:lang w:val="es-CL"/>
        </w:rPr>
      </w:pPr>
    </w:p>
    <w:p w14:paraId="26423B8C" w14:textId="77777777" w:rsidR="00A95E6B" w:rsidRDefault="00A95E6B" w:rsidP="00A95E6B">
      <w:pPr>
        <w:ind w:firstLine="720"/>
        <w:jc w:val="both"/>
        <w:rPr>
          <w:rFonts w:ascii="Cambria" w:hAnsi="Cambria"/>
          <w:sz w:val="20"/>
          <w:szCs w:val="20"/>
          <w:lang w:val="es-CL"/>
        </w:rPr>
      </w:pPr>
      <w:r>
        <w:rPr>
          <w:rFonts w:ascii="Cambria" w:hAnsi="Cambria"/>
          <w:sz w:val="20"/>
          <w:szCs w:val="20"/>
          <w:lang w:val="es-CL"/>
        </w:rPr>
        <w:t xml:space="preserve">El que suscribe, </w:t>
      </w:r>
      <w:r w:rsidRPr="00A95E6B">
        <w:rPr>
          <w:rFonts w:ascii="Cambria" w:hAnsi="Cambria" w:cs="Arial"/>
          <w:sz w:val="20"/>
          <w:szCs w:val="20"/>
          <w:lang w:val="es-PE"/>
        </w:rPr>
        <w:t>Mario López-Garelli</w:t>
      </w:r>
      <w:r>
        <w:rPr>
          <w:rFonts w:ascii="Cambria" w:hAnsi="Cambria"/>
          <w:sz w:val="20"/>
          <w:szCs w:val="20"/>
          <w:lang w:val="es-CL"/>
        </w:rPr>
        <w:t>, por autorización del Secretario Ejecutivo de la Comisión Interamericana de Derechos Humanos, de conformidad con el artículo 49 del Reglamento de la Comisión, certifica que es copia fiel del original depositado en los archivos de la Secretaría de la CIDH.</w:t>
      </w:r>
    </w:p>
    <w:p w14:paraId="55F33A8E" w14:textId="77777777" w:rsidR="00A95E6B" w:rsidRDefault="00A95E6B" w:rsidP="00A95E6B">
      <w:pPr>
        <w:rPr>
          <w:rFonts w:ascii="Cambria" w:hAnsi="Cambria"/>
          <w:sz w:val="20"/>
          <w:szCs w:val="20"/>
          <w:lang w:val="es-PE"/>
        </w:rPr>
      </w:pPr>
    </w:p>
    <w:p w14:paraId="1B67D5B1" w14:textId="77777777" w:rsidR="00A95E6B" w:rsidRDefault="00A95E6B" w:rsidP="00A95E6B">
      <w:pPr>
        <w:rPr>
          <w:rFonts w:ascii="Cambria" w:hAnsi="Cambria"/>
          <w:sz w:val="20"/>
          <w:szCs w:val="20"/>
          <w:lang w:val="es-PE"/>
        </w:rPr>
      </w:pPr>
    </w:p>
    <w:p w14:paraId="797D9D05" w14:textId="77777777" w:rsidR="00A95E6B" w:rsidRDefault="00A95E6B" w:rsidP="00A95E6B">
      <w:pPr>
        <w:rPr>
          <w:rFonts w:ascii="Cambria" w:hAnsi="Cambria"/>
          <w:sz w:val="20"/>
          <w:szCs w:val="20"/>
          <w:lang w:val="es-PE"/>
        </w:rPr>
      </w:pPr>
    </w:p>
    <w:p w14:paraId="62FDD215" w14:textId="77777777" w:rsidR="00A95E6B" w:rsidRDefault="00A95E6B" w:rsidP="00A95E6B">
      <w:pPr>
        <w:rPr>
          <w:rFonts w:ascii="Cambria" w:hAnsi="Cambria"/>
          <w:sz w:val="20"/>
          <w:szCs w:val="20"/>
          <w:lang w:val="es-PE"/>
        </w:rPr>
      </w:pPr>
    </w:p>
    <w:p w14:paraId="3E7166D7" w14:textId="77777777" w:rsidR="00A95E6B" w:rsidRPr="00A95E6B" w:rsidRDefault="00A95E6B" w:rsidP="00A95E6B">
      <w:pPr>
        <w:rPr>
          <w:rFonts w:ascii="Cambria" w:hAnsi="Cambria"/>
          <w:sz w:val="20"/>
          <w:szCs w:val="20"/>
          <w:lang w:val="es-PE"/>
        </w:rPr>
      </w:pPr>
    </w:p>
    <w:p w14:paraId="6F1A4B79" w14:textId="77777777" w:rsidR="00A95E6B" w:rsidRPr="00A95E6B" w:rsidRDefault="00A95E6B" w:rsidP="00A95E6B">
      <w:pPr>
        <w:ind w:left="2160" w:firstLine="720"/>
        <w:jc w:val="center"/>
        <w:rPr>
          <w:rFonts w:ascii="Cambria" w:hAnsi="Cambria"/>
          <w:sz w:val="20"/>
          <w:szCs w:val="20"/>
          <w:lang w:val="es-PE"/>
        </w:rPr>
      </w:pPr>
      <w:r w:rsidRPr="00A95E6B">
        <w:rPr>
          <w:rFonts w:ascii="Cambria" w:hAnsi="Cambria" w:cs="Arial"/>
          <w:sz w:val="20"/>
          <w:szCs w:val="20"/>
          <w:lang w:val="es-PE"/>
        </w:rPr>
        <w:t>Mario López-Garelli</w:t>
      </w:r>
    </w:p>
    <w:p w14:paraId="5ECE64C1" w14:textId="77777777" w:rsidR="00A95E6B" w:rsidRPr="00A95E6B" w:rsidRDefault="00A95E6B" w:rsidP="00A95E6B">
      <w:pPr>
        <w:ind w:left="2160" w:firstLine="720"/>
        <w:jc w:val="center"/>
        <w:rPr>
          <w:rFonts w:ascii="Cambria" w:hAnsi="Cambria"/>
          <w:sz w:val="20"/>
          <w:szCs w:val="20"/>
          <w:lang w:val="es-PE"/>
        </w:rPr>
      </w:pPr>
      <w:r>
        <w:rPr>
          <w:rFonts w:ascii="Cambria" w:hAnsi="Cambria"/>
          <w:sz w:val="20"/>
          <w:szCs w:val="20"/>
          <w:lang w:val="es-CL"/>
        </w:rPr>
        <w:t>Por autorización del Secretario Ejecutivo</w:t>
      </w:r>
    </w:p>
    <w:sectPr w:rsidR="00A95E6B" w:rsidRPr="00A95E6B" w:rsidSect="00FE71B2">
      <w:headerReference w:type="even" r:id="rId18"/>
      <w:headerReference w:type="default" r:id="rId19"/>
      <w:footerReference w:type="default" r:id="rId20"/>
      <w:footerReference w:type="first" r:id="rId21"/>
      <w:type w:val="oddPage"/>
      <w:pgSz w:w="12240" w:h="15840"/>
      <w:pgMar w:top="1440" w:right="1440" w:bottom="1440" w:left="19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8943C" w14:textId="77777777" w:rsidR="00976B0F" w:rsidRDefault="00976B0F">
      <w:r>
        <w:separator/>
      </w:r>
    </w:p>
  </w:endnote>
  <w:endnote w:type="continuationSeparator" w:id="0">
    <w:p w14:paraId="40F50612" w14:textId="77777777" w:rsidR="00976B0F" w:rsidRDefault="0097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718648"/>
      <w:docPartObj>
        <w:docPartGallery w:val="Page Numbers (Bottom of Page)"/>
        <w:docPartUnique/>
      </w:docPartObj>
    </w:sdtPr>
    <w:sdtEndPr>
      <w:rPr>
        <w:noProof/>
        <w:sz w:val="16"/>
        <w:szCs w:val="22"/>
      </w:rPr>
    </w:sdtEndPr>
    <w:sdtContent>
      <w:p w14:paraId="34979E4F" w14:textId="77777777" w:rsidR="00976B0F" w:rsidRPr="00934A2C" w:rsidRDefault="00976B0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37A11F4E" w14:textId="77777777" w:rsidR="00976B0F" w:rsidRDefault="00976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866F" w14:textId="77777777" w:rsidR="00976B0F" w:rsidRPr="00934A2C" w:rsidRDefault="00976B0F">
    <w:pPr>
      <w:pStyle w:val="Footer"/>
      <w:jc w:val="center"/>
      <w:rPr>
        <w:sz w:val="16"/>
        <w:szCs w:val="22"/>
      </w:rPr>
    </w:pPr>
  </w:p>
  <w:p w14:paraId="538D2405" w14:textId="77777777" w:rsidR="00976B0F" w:rsidRDefault="00976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294112"/>
      <w:docPartObj>
        <w:docPartGallery w:val="Page Numbers (Bottom of Page)"/>
        <w:docPartUnique/>
      </w:docPartObj>
    </w:sdtPr>
    <w:sdtEndPr>
      <w:rPr>
        <w:noProof/>
        <w:sz w:val="16"/>
        <w:szCs w:val="22"/>
      </w:rPr>
    </w:sdtEndPr>
    <w:sdtContent>
      <w:p w14:paraId="098A6DB3" w14:textId="77777777" w:rsidR="00976B0F" w:rsidRPr="00934A2C" w:rsidRDefault="00976B0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A385F">
          <w:rPr>
            <w:noProof/>
            <w:sz w:val="16"/>
            <w:szCs w:val="22"/>
          </w:rPr>
          <w:t>16</w:t>
        </w:r>
        <w:r w:rsidRPr="00934A2C">
          <w:rPr>
            <w:noProof/>
            <w:sz w:val="16"/>
            <w:szCs w:val="22"/>
          </w:rPr>
          <w:fldChar w:fldCharType="end"/>
        </w:r>
      </w:p>
    </w:sdtContent>
  </w:sdt>
  <w:p w14:paraId="1E9F1384" w14:textId="77777777" w:rsidR="00976B0F" w:rsidRDefault="00976B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57A6" w14:textId="77777777" w:rsidR="00976B0F" w:rsidRPr="00934A2C" w:rsidRDefault="00976B0F">
    <w:pPr>
      <w:pStyle w:val="Footer"/>
      <w:jc w:val="center"/>
      <w:rPr>
        <w:sz w:val="16"/>
        <w:szCs w:val="22"/>
      </w:rPr>
    </w:pPr>
  </w:p>
  <w:p w14:paraId="338680AE" w14:textId="77777777" w:rsidR="00976B0F" w:rsidRDefault="00976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1F772" w14:textId="77777777" w:rsidR="00976B0F" w:rsidRPr="000F35ED" w:rsidRDefault="00976B0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5A84722" w14:textId="77777777" w:rsidR="00976B0F" w:rsidRPr="000F35ED" w:rsidRDefault="00976B0F" w:rsidP="000F35ED">
      <w:pPr>
        <w:rPr>
          <w:rFonts w:asciiTheme="majorHAnsi" w:hAnsiTheme="majorHAnsi"/>
          <w:sz w:val="16"/>
          <w:szCs w:val="16"/>
        </w:rPr>
      </w:pPr>
      <w:r w:rsidRPr="000F35ED">
        <w:rPr>
          <w:rFonts w:asciiTheme="majorHAnsi" w:hAnsiTheme="majorHAnsi"/>
          <w:sz w:val="16"/>
          <w:szCs w:val="16"/>
        </w:rPr>
        <w:separator/>
      </w:r>
    </w:p>
    <w:p w14:paraId="23BD8406" w14:textId="77777777" w:rsidR="00976B0F" w:rsidRPr="000F35ED" w:rsidRDefault="00976B0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B2CAAC5" w14:textId="77777777" w:rsidR="00976B0F" w:rsidRPr="000F35ED" w:rsidRDefault="00976B0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4D832DE" w14:textId="77777777" w:rsidR="00976B0F" w:rsidRPr="00AF162B" w:rsidRDefault="00976B0F" w:rsidP="00A43858">
      <w:pPr>
        <w:pStyle w:val="FootnoteText"/>
        <w:spacing w:after="120"/>
        <w:jc w:val="both"/>
        <w:rPr>
          <w:rFonts w:asciiTheme="majorHAnsi" w:hAnsiTheme="majorHAnsi"/>
          <w:sz w:val="16"/>
          <w:szCs w:val="16"/>
          <w:lang w:val="es-US"/>
        </w:rPr>
      </w:pPr>
      <w:r w:rsidRPr="00AF162B">
        <w:rPr>
          <w:rStyle w:val="FootnoteReference"/>
          <w:rFonts w:asciiTheme="majorHAnsi" w:hAnsiTheme="majorHAnsi"/>
          <w:sz w:val="16"/>
          <w:szCs w:val="16"/>
        </w:rPr>
        <w:footnoteRef/>
      </w:r>
      <w:r w:rsidRPr="00AF162B">
        <w:rPr>
          <w:rFonts w:asciiTheme="majorHAnsi" w:hAnsiTheme="majorHAnsi"/>
          <w:sz w:val="16"/>
          <w:szCs w:val="16"/>
          <w:lang w:val="es-US"/>
        </w:rPr>
        <w:t xml:space="preserve"> </w:t>
      </w:r>
      <w:r w:rsidRPr="00AF162B">
        <w:rPr>
          <w:rFonts w:asciiTheme="majorHAnsi" w:hAnsiTheme="majorHAnsi"/>
          <w:sz w:val="16"/>
          <w:szCs w:val="16"/>
          <w:lang w:val="es-CO"/>
        </w:rPr>
        <w:t xml:space="preserve">Conforme a lo dispuesto en el artículo 17.2 del Reglamento de la Comisión, el Comisionado Francisco José Eguiguren Praeli, de nacionalidad peruana, no participó en el debate ni en la decisión del presente caso. </w:t>
      </w:r>
      <w:r w:rsidRPr="00AF162B">
        <w:rPr>
          <w:rFonts w:asciiTheme="majorHAnsi" w:hAnsiTheme="majorHAnsi" w:cs="Tahoma"/>
          <w:sz w:val="16"/>
          <w:szCs w:val="16"/>
          <w:lang w:val="es-PE"/>
        </w:rPr>
        <w:t xml:space="preserve"> </w:t>
      </w:r>
    </w:p>
  </w:footnote>
  <w:footnote w:id="3">
    <w:p w14:paraId="752416BB" w14:textId="77777777" w:rsidR="00976B0F" w:rsidRPr="00AF162B" w:rsidRDefault="00976B0F" w:rsidP="00476437">
      <w:pPr>
        <w:pStyle w:val="FootnoteText"/>
        <w:spacing w:after="120"/>
        <w:jc w:val="both"/>
        <w:rPr>
          <w:rFonts w:asciiTheme="majorHAnsi" w:hAnsiTheme="majorHAnsi"/>
          <w:color w:val="000000" w:themeColor="text1"/>
          <w:sz w:val="16"/>
          <w:szCs w:val="16"/>
          <w:lang w:val="es-CL"/>
        </w:rPr>
      </w:pPr>
      <w:r w:rsidRPr="00AF162B">
        <w:rPr>
          <w:rStyle w:val="FootnoteReference"/>
          <w:rFonts w:asciiTheme="majorHAnsi" w:hAnsiTheme="majorHAnsi"/>
          <w:color w:val="000000" w:themeColor="text1"/>
          <w:sz w:val="16"/>
          <w:szCs w:val="16"/>
        </w:rPr>
        <w:footnoteRef/>
      </w:r>
      <w:r w:rsidRPr="00AF162B">
        <w:rPr>
          <w:rFonts w:asciiTheme="majorHAnsi" w:hAnsiTheme="majorHAnsi"/>
          <w:color w:val="000000" w:themeColor="text1"/>
          <w:sz w:val="16"/>
          <w:szCs w:val="16"/>
          <w:lang w:val="pt-BR"/>
        </w:rPr>
        <w:t xml:space="preserve"> CIDH. Informe No. 79/14. Caso 12.975, Julio Casa Nina. 15 de agosto de 2014. </w:t>
      </w:r>
      <w:r w:rsidRPr="00AF162B">
        <w:rPr>
          <w:rFonts w:asciiTheme="majorHAnsi" w:hAnsiTheme="majorHAnsi" w:cs="Tahoma"/>
          <w:sz w:val="16"/>
          <w:szCs w:val="16"/>
          <w:lang w:val="es-PE"/>
        </w:rPr>
        <w:t>En dicho informe, la CIDH declaró admisibles los reclamos relacionados con los artículos 1.1, 2, 8, 9 y 25 de la Convención Americana. Asimismo, declaró inadmisibles los reclamos relacionados con los artículos 11 y 24 del mismo instrumento.</w:t>
      </w:r>
    </w:p>
  </w:footnote>
  <w:footnote w:id="4">
    <w:p w14:paraId="04890AF5" w14:textId="1E8DAEAA" w:rsidR="00976B0F" w:rsidRPr="00BF57F8" w:rsidRDefault="00976B0F" w:rsidP="00476437">
      <w:pPr>
        <w:pStyle w:val="FootnoteText"/>
        <w:rPr>
          <w:rFonts w:asciiTheme="majorHAnsi" w:hAnsiTheme="majorHAnsi"/>
          <w:sz w:val="16"/>
          <w:szCs w:val="16"/>
          <w:lang w:val="es-CL"/>
        </w:rPr>
      </w:pPr>
      <w:r w:rsidRPr="00BF57F8">
        <w:rPr>
          <w:rStyle w:val="FootnoteReference"/>
          <w:rFonts w:asciiTheme="majorHAnsi" w:hAnsiTheme="majorHAnsi"/>
          <w:sz w:val="16"/>
          <w:szCs w:val="16"/>
        </w:rPr>
        <w:footnoteRef/>
      </w:r>
      <w:r w:rsidR="007F0853">
        <w:rPr>
          <w:rFonts w:asciiTheme="majorHAnsi" w:hAnsiTheme="majorHAnsi"/>
          <w:sz w:val="16"/>
          <w:szCs w:val="16"/>
          <w:lang w:val="es-CL"/>
        </w:rPr>
        <w:t xml:space="preserve"> Anexo 1</w:t>
      </w:r>
      <w:r w:rsidRPr="00BF57F8">
        <w:rPr>
          <w:rFonts w:asciiTheme="majorHAnsi" w:hAnsiTheme="majorHAnsi"/>
          <w:sz w:val="16"/>
          <w:szCs w:val="16"/>
          <w:lang w:val="es-CL"/>
        </w:rPr>
        <w:t xml:space="preserve">. Copia de Resolución No. 464-98-MP-CEMP del 30 junio de 1998, emitida por la Comisión Ejecutiva del Ministerio Público. Anexo a la petición inicial del 6 de febrero de 2007. </w:t>
      </w:r>
    </w:p>
  </w:footnote>
  <w:footnote w:id="5">
    <w:p w14:paraId="187618C5" w14:textId="4B4A4A4F" w:rsidR="00976B0F" w:rsidRPr="00BF57F8" w:rsidRDefault="00976B0F" w:rsidP="00476437">
      <w:pPr>
        <w:pStyle w:val="FootnoteText"/>
        <w:rPr>
          <w:rFonts w:asciiTheme="majorHAnsi" w:hAnsiTheme="majorHAnsi"/>
          <w:sz w:val="16"/>
          <w:szCs w:val="16"/>
          <w:lang w:val="es-CL"/>
        </w:rPr>
      </w:pPr>
      <w:r w:rsidRPr="00BF57F8">
        <w:rPr>
          <w:rStyle w:val="FootnoteReference"/>
          <w:rFonts w:asciiTheme="majorHAnsi" w:hAnsiTheme="majorHAnsi"/>
          <w:sz w:val="16"/>
          <w:szCs w:val="16"/>
        </w:rPr>
        <w:footnoteRef/>
      </w:r>
      <w:r w:rsidRPr="00BF57F8">
        <w:rPr>
          <w:rFonts w:asciiTheme="majorHAnsi" w:hAnsiTheme="majorHAnsi"/>
          <w:sz w:val="16"/>
          <w:szCs w:val="16"/>
          <w:lang w:val="es-CL"/>
        </w:rPr>
        <w:t xml:space="preserve"> Anexo</w:t>
      </w:r>
      <w:r w:rsidR="007F0853">
        <w:rPr>
          <w:rFonts w:asciiTheme="majorHAnsi" w:hAnsiTheme="majorHAnsi"/>
          <w:sz w:val="16"/>
          <w:szCs w:val="16"/>
          <w:lang w:val="es-CL"/>
        </w:rPr>
        <w:t xml:space="preserve"> 1</w:t>
      </w:r>
      <w:r w:rsidRPr="00BF57F8">
        <w:rPr>
          <w:rFonts w:asciiTheme="majorHAnsi" w:hAnsiTheme="majorHAnsi"/>
          <w:sz w:val="16"/>
          <w:szCs w:val="16"/>
          <w:lang w:val="es-CL"/>
        </w:rPr>
        <w:t>. Copia de Resolución No. -565-2002-MP-FN del 08 de abril de 2002, emitida por Fiscalía de la Nación. Anexo a la petición inicial del 6 de febrero de 2007.</w:t>
      </w:r>
    </w:p>
  </w:footnote>
  <w:footnote w:id="6">
    <w:p w14:paraId="05A10726" w14:textId="77777777" w:rsidR="00976B0F" w:rsidRPr="00BF57F8" w:rsidRDefault="00976B0F">
      <w:pPr>
        <w:pStyle w:val="FootnoteText"/>
        <w:rPr>
          <w:lang w:val="es-VE"/>
        </w:rPr>
      </w:pPr>
      <w:r w:rsidRPr="00BF57F8">
        <w:rPr>
          <w:rStyle w:val="FootnoteReference"/>
          <w:rFonts w:asciiTheme="majorHAnsi" w:hAnsiTheme="majorHAnsi"/>
          <w:sz w:val="16"/>
          <w:szCs w:val="16"/>
        </w:rPr>
        <w:footnoteRef/>
      </w:r>
      <w:r w:rsidRPr="00BF57F8">
        <w:rPr>
          <w:rFonts w:asciiTheme="majorHAnsi" w:hAnsiTheme="majorHAnsi"/>
          <w:sz w:val="16"/>
          <w:szCs w:val="16"/>
          <w:lang w:val="es-VE"/>
        </w:rPr>
        <w:t xml:space="preserve"> CIDH, Segundo Informe sobre la Situación de los Derechos Humanos en el Perú, Capítulo II, Administración de Justicia y Estado de Derecho, OEA/Ser.L/V/II.106 Doc. 59 rev, 2 de junio de 2000, párr.35.</w:t>
      </w:r>
    </w:p>
  </w:footnote>
  <w:footnote w:id="7">
    <w:p w14:paraId="0D9BFE85" w14:textId="7B084E6C" w:rsidR="00976B0F" w:rsidRPr="00AF162B" w:rsidRDefault="00976B0F" w:rsidP="00476437">
      <w:pPr>
        <w:pStyle w:val="FootnoteText"/>
        <w:rPr>
          <w:rFonts w:asciiTheme="majorHAnsi" w:hAnsiTheme="majorHAnsi"/>
          <w:sz w:val="16"/>
          <w:szCs w:val="16"/>
          <w:lang w:val="es-CL"/>
        </w:rPr>
      </w:pPr>
      <w:r w:rsidRPr="00AF162B">
        <w:rPr>
          <w:rStyle w:val="FootnoteReference"/>
          <w:rFonts w:asciiTheme="majorHAnsi" w:hAnsiTheme="majorHAnsi"/>
          <w:sz w:val="16"/>
          <w:szCs w:val="16"/>
        </w:rPr>
        <w:footnoteRef/>
      </w:r>
      <w:r w:rsidR="00130FDB">
        <w:rPr>
          <w:rFonts w:asciiTheme="majorHAnsi" w:hAnsiTheme="majorHAnsi"/>
          <w:sz w:val="16"/>
          <w:szCs w:val="16"/>
          <w:lang w:val="es-CL"/>
        </w:rPr>
        <w:t xml:space="preserve"> Anexo 2</w:t>
      </w:r>
      <w:r w:rsidRPr="00AF162B">
        <w:rPr>
          <w:rFonts w:asciiTheme="majorHAnsi" w:hAnsiTheme="majorHAnsi"/>
          <w:sz w:val="16"/>
          <w:szCs w:val="16"/>
          <w:lang w:val="es-CL"/>
        </w:rPr>
        <w:t>. Copia de Resolución No. 087-2003-MP-FN del 21 de enero de 2003, emitida por Fiscalía de la Nación. Anexo a la petición inicial del 6 de febrero de 2007</w:t>
      </w:r>
    </w:p>
  </w:footnote>
  <w:footnote w:id="8">
    <w:p w14:paraId="347FF342" w14:textId="5E7BB130" w:rsidR="00976B0F" w:rsidRPr="00AF162B" w:rsidRDefault="00976B0F" w:rsidP="00476437">
      <w:pPr>
        <w:pStyle w:val="FootnoteText"/>
        <w:rPr>
          <w:rFonts w:asciiTheme="majorHAnsi" w:hAnsiTheme="majorHAnsi"/>
          <w:sz w:val="16"/>
          <w:szCs w:val="16"/>
          <w:lang w:val="es-CL"/>
        </w:rPr>
      </w:pPr>
      <w:r w:rsidRPr="00AF162B">
        <w:rPr>
          <w:rStyle w:val="FootnoteReference"/>
          <w:rFonts w:asciiTheme="majorHAnsi" w:hAnsiTheme="majorHAnsi"/>
          <w:sz w:val="16"/>
          <w:szCs w:val="16"/>
        </w:rPr>
        <w:footnoteRef/>
      </w:r>
      <w:r w:rsidR="00130FDB">
        <w:rPr>
          <w:rFonts w:asciiTheme="majorHAnsi" w:hAnsiTheme="majorHAnsi"/>
          <w:sz w:val="16"/>
          <w:szCs w:val="16"/>
          <w:lang w:val="es-CL"/>
        </w:rPr>
        <w:t xml:space="preserve"> Anexo 3</w:t>
      </w:r>
      <w:r w:rsidRPr="00AF162B">
        <w:rPr>
          <w:rFonts w:asciiTheme="majorHAnsi" w:hAnsiTheme="majorHAnsi"/>
          <w:sz w:val="16"/>
          <w:szCs w:val="16"/>
          <w:lang w:val="es-CL"/>
        </w:rPr>
        <w:t>. Copia Recurso de Reconsideración ante Nelly Navarro, Fiscal de la Nación,  del 13 de febrero de 2003, interpuesto por Julio Casa Nina. Anexo a la respuesta del Estado a la petición inicial del 22 de julio de 2011.</w:t>
      </w:r>
    </w:p>
  </w:footnote>
  <w:footnote w:id="9">
    <w:p w14:paraId="2BA3F4A2" w14:textId="3363520A" w:rsidR="00976B0F" w:rsidRPr="00AF162B" w:rsidRDefault="00976B0F" w:rsidP="00476437">
      <w:pPr>
        <w:pStyle w:val="FootnoteText"/>
        <w:rPr>
          <w:rFonts w:asciiTheme="majorHAnsi" w:hAnsiTheme="majorHAnsi"/>
          <w:sz w:val="16"/>
          <w:szCs w:val="16"/>
          <w:lang w:val="es-CL"/>
        </w:rPr>
      </w:pPr>
      <w:r w:rsidRPr="00AF162B">
        <w:rPr>
          <w:rStyle w:val="FootnoteReference"/>
          <w:rFonts w:asciiTheme="majorHAnsi" w:hAnsiTheme="majorHAnsi"/>
          <w:sz w:val="16"/>
          <w:szCs w:val="16"/>
        </w:rPr>
        <w:footnoteRef/>
      </w:r>
      <w:r w:rsidR="00130FDB">
        <w:rPr>
          <w:rFonts w:asciiTheme="majorHAnsi" w:hAnsiTheme="majorHAnsi"/>
          <w:sz w:val="16"/>
          <w:szCs w:val="16"/>
          <w:lang w:val="es-CL"/>
        </w:rPr>
        <w:t xml:space="preserve"> Anexo 4</w:t>
      </w:r>
      <w:r w:rsidRPr="00AF162B">
        <w:rPr>
          <w:rFonts w:asciiTheme="majorHAnsi" w:hAnsiTheme="majorHAnsi"/>
          <w:sz w:val="16"/>
          <w:szCs w:val="16"/>
          <w:lang w:val="es-CL"/>
        </w:rPr>
        <w:t>. Copia de Resolución No. 285-2003-MP-FN del 14 de febrero de 2003, emitida por Fiscalía de la Nación. Anexo a la respuesta del Estado a la petición inicial del 22 de julio de 2011.</w:t>
      </w:r>
    </w:p>
  </w:footnote>
  <w:footnote w:id="10">
    <w:p w14:paraId="4BECB388" w14:textId="77777777" w:rsidR="00976B0F" w:rsidRPr="00AF162B" w:rsidRDefault="00976B0F">
      <w:pPr>
        <w:pStyle w:val="FootnoteText"/>
        <w:rPr>
          <w:rFonts w:asciiTheme="majorHAnsi" w:hAnsiTheme="majorHAnsi"/>
          <w:sz w:val="16"/>
          <w:szCs w:val="16"/>
          <w:lang w:val="es-VE"/>
        </w:rPr>
      </w:pPr>
      <w:r w:rsidRPr="00AF162B">
        <w:rPr>
          <w:rStyle w:val="FootnoteReference"/>
          <w:rFonts w:asciiTheme="majorHAnsi" w:hAnsiTheme="majorHAnsi"/>
          <w:sz w:val="16"/>
          <w:szCs w:val="16"/>
        </w:rPr>
        <w:footnoteRef/>
      </w:r>
      <w:r w:rsidRPr="00AF162B">
        <w:rPr>
          <w:rFonts w:asciiTheme="majorHAnsi" w:hAnsiTheme="majorHAnsi"/>
          <w:sz w:val="16"/>
          <w:szCs w:val="16"/>
          <w:lang w:val="es-VE"/>
        </w:rPr>
        <w:t xml:space="preserve"> Ver Ley No 27362, </w:t>
      </w:r>
      <w:hyperlink r:id="rId1" w:history="1">
        <w:r w:rsidRPr="00AF162B">
          <w:rPr>
            <w:rStyle w:val="Hyperlink"/>
            <w:rFonts w:asciiTheme="majorHAnsi" w:hAnsiTheme="majorHAnsi"/>
            <w:sz w:val="16"/>
            <w:szCs w:val="16"/>
            <w:lang w:val="es-VE"/>
          </w:rPr>
          <w:t>Ley que Deja sin efecto la homologación de los magistrados titulares y provisionales del Poder Judicial y del Ministerio Público</w:t>
        </w:r>
      </w:hyperlink>
      <w:r w:rsidRPr="00AF162B">
        <w:rPr>
          <w:rFonts w:asciiTheme="majorHAnsi" w:hAnsiTheme="majorHAnsi"/>
          <w:sz w:val="16"/>
          <w:szCs w:val="16"/>
          <w:lang w:val="es-VE"/>
        </w:rPr>
        <w:t xml:space="preserve">. </w:t>
      </w:r>
    </w:p>
  </w:footnote>
  <w:footnote w:id="11">
    <w:p w14:paraId="52B04996" w14:textId="0F7C7555" w:rsidR="00976B0F" w:rsidRPr="00AF162B" w:rsidRDefault="00976B0F" w:rsidP="00476437">
      <w:pPr>
        <w:pStyle w:val="FootnoteText"/>
        <w:rPr>
          <w:rFonts w:asciiTheme="majorHAnsi" w:hAnsiTheme="majorHAnsi"/>
          <w:sz w:val="16"/>
          <w:szCs w:val="16"/>
          <w:lang w:val="es-CL"/>
        </w:rPr>
      </w:pPr>
      <w:r w:rsidRPr="00AF162B">
        <w:rPr>
          <w:rStyle w:val="FootnoteReference"/>
          <w:rFonts w:asciiTheme="majorHAnsi" w:hAnsiTheme="majorHAnsi"/>
          <w:sz w:val="16"/>
          <w:szCs w:val="16"/>
        </w:rPr>
        <w:footnoteRef/>
      </w:r>
      <w:r w:rsidR="00130FDB">
        <w:rPr>
          <w:rFonts w:asciiTheme="majorHAnsi" w:hAnsiTheme="majorHAnsi"/>
          <w:sz w:val="16"/>
          <w:szCs w:val="16"/>
          <w:lang w:val="es-CL"/>
        </w:rPr>
        <w:t xml:space="preserve"> Anexo 5</w:t>
      </w:r>
      <w:r w:rsidRPr="00AF162B">
        <w:rPr>
          <w:rFonts w:asciiTheme="majorHAnsi" w:hAnsiTheme="majorHAnsi"/>
          <w:sz w:val="16"/>
          <w:szCs w:val="16"/>
          <w:lang w:val="es-CL"/>
        </w:rPr>
        <w:t xml:space="preserve">. Copia de Resolución No. 01 del 02 de diciembre de 2004, emitido por el </w:t>
      </w:r>
      <w:r w:rsidRPr="00AF162B">
        <w:rPr>
          <w:rFonts w:asciiTheme="majorHAnsi" w:hAnsiTheme="majorHAnsi"/>
          <w:color w:val="000000" w:themeColor="text1"/>
          <w:sz w:val="16"/>
          <w:szCs w:val="16"/>
          <w:lang w:val="es-CL"/>
        </w:rPr>
        <w:t>Primer Juzgado Especializado en lo Civil de Huamanga, Ayacucho</w:t>
      </w:r>
      <w:r w:rsidRPr="00AF162B">
        <w:rPr>
          <w:rFonts w:asciiTheme="majorHAnsi" w:hAnsiTheme="majorHAnsi"/>
          <w:sz w:val="16"/>
          <w:szCs w:val="16"/>
          <w:lang w:val="es-CL"/>
        </w:rPr>
        <w:t>. Anexo a la respuesta del Estado a la petición inicial del 22 de julio de 2011.</w:t>
      </w:r>
    </w:p>
  </w:footnote>
  <w:footnote w:id="12">
    <w:p w14:paraId="5003EFE2" w14:textId="66F52EE2" w:rsidR="00976B0F" w:rsidRPr="00AF162B" w:rsidRDefault="00976B0F" w:rsidP="00476437">
      <w:pPr>
        <w:pStyle w:val="FootnoteText"/>
        <w:rPr>
          <w:rFonts w:asciiTheme="majorHAnsi" w:hAnsiTheme="majorHAnsi"/>
          <w:sz w:val="16"/>
          <w:szCs w:val="16"/>
          <w:lang w:val="es-CL"/>
        </w:rPr>
      </w:pPr>
      <w:r w:rsidRPr="00AF162B">
        <w:rPr>
          <w:rStyle w:val="FootnoteReference"/>
          <w:rFonts w:asciiTheme="majorHAnsi" w:hAnsiTheme="majorHAnsi"/>
          <w:sz w:val="16"/>
          <w:szCs w:val="16"/>
        </w:rPr>
        <w:footnoteRef/>
      </w:r>
      <w:r w:rsidR="00A21F95">
        <w:rPr>
          <w:rFonts w:asciiTheme="majorHAnsi" w:hAnsiTheme="majorHAnsi"/>
          <w:sz w:val="16"/>
          <w:szCs w:val="16"/>
          <w:lang w:val="es-CL"/>
        </w:rPr>
        <w:t xml:space="preserve"> Anexo 6</w:t>
      </w:r>
      <w:r w:rsidRPr="00AF162B">
        <w:rPr>
          <w:rFonts w:asciiTheme="majorHAnsi" w:hAnsiTheme="majorHAnsi"/>
          <w:sz w:val="16"/>
          <w:szCs w:val="16"/>
          <w:lang w:val="es-CL"/>
        </w:rPr>
        <w:t>. Copia acción de amparo ante Juez del Juzgado Civil de Huamanga, Ayacucho, interpuesta por Julio Casa Nina. Anexo a la respuesta del Estado a la petición inicial del 22 de julio de 2011.</w:t>
      </w:r>
    </w:p>
  </w:footnote>
  <w:footnote w:id="13">
    <w:p w14:paraId="42169CA0" w14:textId="16404C59" w:rsidR="00976B0F" w:rsidRPr="00AF162B" w:rsidRDefault="00976B0F" w:rsidP="00476437">
      <w:pPr>
        <w:pStyle w:val="FootnoteText"/>
        <w:rPr>
          <w:rFonts w:asciiTheme="majorHAnsi" w:hAnsiTheme="majorHAnsi"/>
          <w:sz w:val="16"/>
          <w:szCs w:val="16"/>
          <w:lang w:val="es-CL"/>
        </w:rPr>
      </w:pPr>
      <w:r w:rsidRPr="00AF162B">
        <w:rPr>
          <w:rStyle w:val="FootnoteReference"/>
          <w:rFonts w:asciiTheme="majorHAnsi" w:hAnsiTheme="majorHAnsi"/>
          <w:sz w:val="16"/>
          <w:szCs w:val="16"/>
        </w:rPr>
        <w:footnoteRef/>
      </w:r>
      <w:r w:rsidR="00A21F95">
        <w:rPr>
          <w:rFonts w:asciiTheme="majorHAnsi" w:hAnsiTheme="majorHAnsi"/>
          <w:sz w:val="16"/>
          <w:szCs w:val="16"/>
          <w:lang w:val="es-CL"/>
        </w:rPr>
        <w:t xml:space="preserve"> Anexo 7</w:t>
      </w:r>
      <w:r w:rsidRPr="00AF162B">
        <w:rPr>
          <w:rFonts w:asciiTheme="majorHAnsi" w:hAnsiTheme="majorHAnsi"/>
          <w:sz w:val="16"/>
          <w:szCs w:val="16"/>
          <w:lang w:val="es-CL"/>
        </w:rPr>
        <w:t xml:space="preserve">. Copia de Resolución No. 07 del 19 de abril de 2005, emitida por </w:t>
      </w:r>
      <w:r w:rsidRPr="00AF162B">
        <w:rPr>
          <w:rFonts w:asciiTheme="majorHAnsi" w:hAnsiTheme="majorHAnsi"/>
          <w:color w:val="000000" w:themeColor="text1"/>
          <w:sz w:val="16"/>
          <w:szCs w:val="16"/>
          <w:lang w:val="es-CL"/>
        </w:rPr>
        <w:t>Primer Juzgado Especializado en lo Civil de Huamanga, Ayacucho</w:t>
      </w:r>
      <w:r w:rsidRPr="00AF162B">
        <w:rPr>
          <w:rFonts w:asciiTheme="majorHAnsi" w:hAnsiTheme="majorHAnsi"/>
          <w:sz w:val="16"/>
          <w:szCs w:val="16"/>
          <w:lang w:val="es-CL"/>
        </w:rPr>
        <w:t>. Anexo a la petición inicial del 6 de febrero de 2007</w:t>
      </w:r>
      <w:r w:rsidR="00A21F95">
        <w:rPr>
          <w:rFonts w:asciiTheme="majorHAnsi" w:hAnsiTheme="majorHAnsi"/>
          <w:sz w:val="16"/>
          <w:szCs w:val="16"/>
          <w:lang w:val="es-CL"/>
        </w:rPr>
        <w:t>.</w:t>
      </w:r>
    </w:p>
  </w:footnote>
  <w:footnote w:id="14">
    <w:p w14:paraId="788372B3" w14:textId="780BC683" w:rsidR="00976B0F" w:rsidRPr="00AF162B" w:rsidRDefault="00976B0F" w:rsidP="00476437">
      <w:pPr>
        <w:pStyle w:val="FootnoteText"/>
        <w:rPr>
          <w:rFonts w:asciiTheme="majorHAnsi" w:hAnsiTheme="majorHAnsi"/>
          <w:sz w:val="16"/>
          <w:szCs w:val="16"/>
          <w:lang w:val="es-CL"/>
        </w:rPr>
      </w:pPr>
      <w:r w:rsidRPr="00AF162B">
        <w:rPr>
          <w:rStyle w:val="FootnoteReference"/>
          <w:rFonts w:asciiTheme="majorHAnsi" w:hAnsiTheme="majorHAnsi"/>
          <w:sz w:val="16"/>
          <w:szCs w:val="16"/>
        </w:rPr>
        <w:footnoteRef/>
      </w:r>
      <w:r w:rsidR="00A21F95">
        <w:rPr>
          <w:rFonts w:asciiTheme="majorHAnsi" w:hAnsiTheme="majorHAnsi"/>
          <w:sz w:val="16"/>
          <w:szCs w:val="16"/>
          <w:lang w:val="es-CL"/>
        </w:rPr>
        <w:t xml:space="preserve"> Anexo 8</w:t>
      </w:r>
      <w:r w:rsidRPr="00AF162B">
        <w:rPr>
          <w:rFonts w:asciiTheme="majorHAnsi" w:hAnsiTheme="majorHAnsi"/>
          <w:sz w:val="16"/>
          <w:szCs w:val="16"/>
          <w:lang w:val="es-CL"/>
        </w:rPr>
        <w:t xml:space="preserve">. Copia de Resolución No. 13  del 11 de julio de 2005, emitida por </w:t>
      </w:r>
      <w:r w:rsidRPr="00AF162B">
        <w:rPr>
          <w:rFonts w:asciiTheme="majorHAnsi" w:hAnsiTheme="majorHAnsi"/>
          <w:color w:val="000000" w:themeColor="text1"/>
          <w:sz w:val="16"/>
          <w:szCs w:val="16"/>
          <w:lang w:val="es-VE"/>
        </w:rPr>
        <w:t xml:space="preserve">Sala Especializada en lo Civil de la Corte Superior de Justicia de Ayacucho. </w:t>
      </w:r>
      <w:r w:rsidRPr="00AF162B">
        <w:rPr>
          <w:rFonts w:asciiTheme="majorHAnsi" w:hAnsiTheme="majorHAnsi"/>
          <w:sz w:val="16"/>
          <w:szCs w:val="16"/>
          <w:lang w:val="es-CL"/>
        </w:rPr>
        <w:t xml:space="preserve"> Anexo a la petición inicial del 6 de febrero de 2007</w:t>
      </w:r>
      <w:r w:rsidR="00A21F95">
        <w:rPr>
          <w:rFonts w:asciiTheme="majorHAnsi" w:hAnsiTheme="majorHAnsi"/>
          <w:sz w:val="16"/>
          <w:szCs w:val="16"/>
          <w:lang w:val="es-CL"/>
        </w:rPr>
        <w:t>.</w:t>
      </w:r>
    </w:p>
  </w:footnote>
  <w:footnote w:id="15">
    <w:p w14:paraId="65D42F4A" w14:textId="6176EF27" w:rsidR="00976B0F" w:rsidRPr="00427BE7" w:rsidRDefault="00976B0F" w:rsidP="00476437">
      <w:pPr>
        <w:pStyle w:val="FootnoteText"/>
        <w:rPr>
          <w:rFonts w:asciiTheme="majorHAnsi" w:hAnsiTheme="majorHAnsi"/>
          <w:sz w:val="16"/>
          <w:szCs w:val="16"/>
          <w:lang w:val="es-CL"/>
        </w:rPr>
      </w:pPr>
      <w:r w:rsidRPr="00427BE7">
        <w:rPr>
          <w:rStyle w:val="FootnoteReference"/>
          <w:rFonts w:asciiTheme="majorHAnsi" w:hAnsiTheme="majorHAnsi"/>
          <w:sz w:val="16"/>
          <w:szCs w:val="16"/>
        </w:rPr>
        <w:footnoteRef/>
      </w:r>
      <w:r w:rsidR="00A21F95">
        <w:rPr>
          <w:rFonts w:asciiTheme="majorHAnsi" w:hAnsiTheme="majorHAnsi"/>
          <w:sz w:val="16"/>
          <w:szCs w:val="16"/>
          <w:lang w:val="es-CL"/>
        </w:rPr>
        <w:t xml:space="preserve"> Anexo 9</w:t>
      </w:r>
      <w:r w:rsidRPr="00427BE7">
        <w:rPr>
          <w:rFonts w:asciiTheme="majorHAnsi" w:hAnsiTheme="majorHAnsi"/>
          <w:sz w:val="16"/>
          <w:szCs w:val="16"/>
          <w:lang w:val="es-CL"/>
        </w:rPr>
        <w:t xml:space="preserve">. Copia de Sentencia del Tribunal Constitucional  del 14 de noviembre de 2005, emitida por el </w:t>
      </w:r>
      <w:r w:rsidRPr="00427BE7">
        <w:rPr>
          <w:rFonts w:asciiTheme="majorHAnsi" w:hAnsiTheme="majorHAnsi"/>
          <w:color w:val="000000" w:themeColor="text1"/>
          <w:sz w:val="16"/>
          <w:szCs w:val="16"/>
          <w:lang w:val="es-VE"/>
        </w:rPr>
        <w:t xml:space="preserve">Tribunal Constitucional. </w:t>
      </w:r>
      <w:r w:rsidRPr="00427BE7">
        <w:rPr>
          <w:rFonts w:asciiTheme="majorHAnsi" w:hAnsiTheme="majorHAnsi"/>
          <w:sz w:val="16"/>
          <w:szCs w:val="16"/>
          <w:lang w:val="es-CL"/>
        </w:rPr>
        <w:t xml:space="preserve"> Anexo a la petición inicial del 6 de febrero de 2007</w:t>
      </w:r>
      <w:r w:rsidR="001C7361">
        <w:rPr>
          <w:rFonts w:asciiTheme="majorHAnsi" w:hAnsiTheme="majorHAnsi"/>
          <w:sz w:val="16"/>
          <w:szCs w:val="16"/>
          <w:lang w:val="es-CL"/>
        </w:rPr>
        <w:t>.</w:t>
      </w:r>
    </w:p>
  </w:footnote>
  <w:footnote w:id="16">
    <w:p w14:paraId="18272A3D" w14:textId="77777777" w:rsidR="00976B0F" w:rsidRPr="001E3078" w:rsidRDefault="00976B0F" w:rsidP="002E2F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16"/>
          <w:szCs w:val="16"/>
          <w:lang w:val="es-ES" w:eastAsia="es-ES"/>
        </w:rPr>
      </w:pPr>
      <w:r w:rsidRPr="001E3078">
        <w:rPr>
          <w:rStyle w:val="FootnoteReference"/>
          <w:rFonts w:ascii="Cambria" w:hAnsi="Cambria"/>
          <w:sz w:val="16"/>
          <w:szCs w:val="16"/>
        </w:rPr>
        <w:footnoteRef/>
      </w:r>
      <w:r w:rsidRPr="001E3078">
        <w:rPr>
          <w:rFonts w:ascii="Cambria" w:hAnsi="Cambria"/>
          <w:sz w:val="16"/>
          <w:szCs w:val="16"/>
          <w:lang w:val="es-VE"/>
        </w:rPr>
        <w:t xml:space="preserve"> El artículo 8.1 de la Convención señala que: </w:t>
      </w:r>
      <w:r w:rsidRPr="001E3078">
        <w:rPr>
          <w:rFonts w:ascii="Cambria" w:eastAsia="Times New Roman" w:hAnsi="Cambria"/>
          <w:sz w:val="16"/>
          <w:szCs w:val="16"/>
          <w:lang w:val="es-ES" w:eastAsia="es-ES"/>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Pr>
          <w:rFonts w:ascii="Cambria" w:eastAsia="Times New Roman" w:hAnsi="Cambria"/>
          <w:sz w:val="16"/>
          <w:szCs w:val="16"/>
          <w:lang w:val="es-ES" w:eastAsia="es-ES"/>
        </w:rPr>
        <w:t xml:space="preserve"> </w:t>
      </w:r>
      <w:r w:rsidRPr="00910616">
        <w:rPr>
          <w:rFonts w:ascii="Cambria" w:hAnsi="Cambria"/>
          <w:sz w:val="16"/>
          <w:szCs w:val="16"/>
          <w:lang w:val="es-VE"/>
        </w:rPr>
        <w:t>El artículo 8.2 establece en lo pertinente que: 2. Toda persona inculpada de delito tiene derecho a que se presuma su inocencia mientras no se establezca legalmente su culpabilidad. Durante el proceso, toda persona tiene derecho, en plena igualdad, a las siguientes garantías mínimas: b) comunicación previa y detallada al inculpado de la acusación formulada; c) concesión al inculpado del tiempo y de los medios adecuados para la preparación de su defensa.</w:t>
      </w:r>
    </w:p>
  </w:footnote>
  <w:footnote w:id="17">
    <w:p w14:paraId="318C1F68" w14:textId="77777777" w:rsidR="00976B0F" w:rsidRPr="00524F15" w:rsidRDefault="00976B0F" w:rsidP="00454D40">
      <w:pPr>
        <w:pStyle w:val="FootnoteText"/>
        <w:jc w:val="both"/>
        <w:rPr>
          <w:rFonts w:ascii="Cambria" w:hAnsi="Cambria"/>
          <w:sz w:val="16"/>
          <w:szCs w:val="16"/>
          <w:lang w:val="es-VE"/>
        </w:rPr>
      </w:pPr>
      <w:r w:rsidRPr="00524F15">
        <w:rPr>
          <w:rStyle w:val="FootnoteReference"/>
          <w:rFonts w:ascii="Cambria" w:hAnsi="Cambria"/>
          <w:sz w:val="16"/>
          <w:szCs w:val="16"/>
        </w:rPr>
        <w:footnoteRef/>
      </w:r>
      <w:r w:rsidRPr="00524F15">
        <w:rPr>
          <w:rFonts w:ascii="Cambria" w:hAnsi="Cambria"/>
          <w:sz w:val="16"/>
          <w:szCs w:val="16"/>
          <w:lang w:val="es-VE"/>
        </w:rPr>
        <w:t xml:space="preserve"> El artículo 9 de la Convención Americana establece que </w:t>
      </w:r>
      <w:r w:rsidRPr="00524F15">
        <w:rPr>
          <w:rFonts w:ascii="Cambria" w:hAnsi="Cambria" w:cs="Tahoma"/>
          <w:sz w:val="16"/>
          <w:szCs w:val="16"/>
          <w:lang w:val="es-VE"/>
        </w:rPr>
        <w:t>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footnote>
  <w:footnote w:id="18">
    <w:p w14:paraId="679DA9ED" w14:textId="77777777" w:rsidR="00976B0F" w:rsidRPr="00427BE7" w:rsidRDefault="00976B0F" w:rsidP="00D279BE">
      <w:pPr>
        <w:pStyle w:val="FootnoteText"/>
        <w:jc w:val="both"/>
        <w:rPr>
          <w:rFonts w:asciiTheme="majorHAnsi" w:hAnsiTheme="majorHAnsi"/>
          <w:color w:val="auto"/>
          <w:sz w:val="16"/>
          <w:szCs w:val="16"/>
          <w:lang w:val="es-ES"/>
        </w:rPr>
      </w:pPr>
      <w:r w:rsidRPr="00427BE7">
        <w:rPr>
          <w:rStyle w:val="FootnoteReference"/>
          <w:rFonts w:asciiTheme="majorHAnsi" w:hAnsiTheme="majorHAnsi"/>
          <w:color w:val="auto"/>
          <w:sz w:val="16"/>
          <w:szCs w:val="16"/>
        </w:rPr>
        <w:footnoteRef/>
      </w:r>
      <w:r w:rsidRPr="00427BE7">
        <w:rPr>
          <w:rFonts w:asciiTheme="majorHAnsi" w:hAnsiTheme="majorHAnsi"/>
          <w:color w:val="auto"/>
          <w:sz w:val="16"/>
          <w:szCs w:val="16"/>
          <w:lang w:val="es-ES"/>
        </w:rPr>
        <w:t xml:space="preserve"> CIDH, Informe No. 65/11, Caso 12.600, Fondo, Hugo Quintana Coello y otros “Magistrados de la Corte Suprema de Justicia”, Ecuador, 31 de marzo de 2011, párr. 102; Corte IDH. </w:t>
      </w:r>
      <w:hyperlink r:id="rId2" w:history="1">
        <w:r w:rsidRPr="00427BE7">
          <w:rPr>
            <w:rStyle w:val="Hyperlink"/>
            <w:rFonts w:asciiTheme="majorHAnsi" w:hAnsiTheme="majorHAnsi" w:cs="Arial"/>
            <w:color w:val="auto"/>
            <w:sz w:val="16"/>
            <w:szCs w:val="16"/>
            <w:u w:val="none"/>
            <w:shd w:val="clear" w:color="auto" w:fill="FFFFFF"/>
            <w:lang w:val="es-ES"/>
          </w:rPr>
          <w:t>Caso Baena Ricardo y otros Vs. Panamá. Fondo, Reparaciones y Costas. Sentencia de 2 de febrero de 2001. Serie C No. 72</w:t>
        </w:r>
      </w:hyperlink>
      <w:r w:rsidRPr="00427BE7">
        <w:rPr>
          <w:rFonts w:asciiTheme="majorHAnsi" w:hAnsiTheme="majorHAnsi"/>
          <w:color w:val="auto"/>
          <w:sz w:val="16"/>
          <w:szCs w:val="16"/>
          <w:lang w:val="es-ES"/>
        </w:rPr>
        <w:t xml:space="preserve">, párrs. 126-127; </w:t>
      </w:r>
      <w:hyperlink r:id="rId3" w:history="1">
        <w:r w:rsidRPr="00427BE7">
          <w:rPr>
            <w:rStyle w:val="Hyperlink"/>
            <w:rFonts w:asciiTheme="majorHAnsi" w:hAnsiTheme="majorHAnsi" w:cs="Arial"/>
            <w:color w:val="auto"/>
            <w:sz w:val="16"/>
            <w:szCs w:val="16"/>
            <w:u w:val="none"/>
            <w:shd w:val="clear" w:color="auto" w:fill="FFFFFF"/>
            <w:lang w:val="es-ES"/>
          </w:rPr>
          <w:t>Caso del Tribunal Constitucional Vs. Perú. Fondo, Reparaciones y Costas. Sentencia de 31 de enero de 2001. Serie C No. 71</w:t>
        </w:r>
      </w:hyperlink>
      <w:r w:rsidRPr="00427BE7">
        <w:rPr>
          <w:rFonts w:asciiTheme="majorHAnsi" w:hAnsiTheme="majorHAnsi"/>
          <w:color w:val="auto"/>
          <w:sz w:val="16"/>
          <w:szCs w:val="16"/>
          <w:lang w:val="es-ES"/>
        </w:rPr>
        <w:t xml:space="preserve">, párrs. 69-70; y </w:t>
      </w:r>
      <w:hyperlink r:id="rId4" w:history="1">
        <w:r w:rsidRPr="00427BE7">
          <w:rPr>
            <w:rStyle w:val="Hyperlink"/>
            <w:rFonts w:asciiTheme="majorHAnsi" w:hAnsiTheme="majorHAnsi" w:cs="Arial"/>
            <w:color w:val="auto"/>
            <w:sz w:val="16"/>
            <w:szCs w:val="16"/>
            <w:u w:val="none"/>
            <w:shd w:val="clear" w:color="auto" w:fill="FFFFFF"/>
            <w:lang w:val="es-ES"/>
          </w:rPr>
          <w:t>Caso López Mendoza Vs. Venezuela. Fondo Reparaciones y Costas. Sentencia de 1 de septiembre de 2011 Serie C No. 233</w:t>
        </w:r>
      </w:hyperlink>
      <w:r w:rsidRPr="00427BE7">
        <w:rPr>
          <w:rFonts w:asciiTheme="majorHAnsi" w:hAnsiTheme="majorHAnsi"/>
          <w:color w:val="auto"/>
          <w:sz w:val="16"/>
          <w:szCs w:val="16"/>
          <w:lang w:val="es-ES"/>
        </w:rPr>
        <w:t xml:space="preserve">, párr. 111. </w:t>
      </w:r>
    </w:p>
  </w:footnote>
  <w:footnote w:id="19">
    <w:p w14:paraId="268CDE70" w14:textId="77777777" w:rsidR="00976B0F" w:rsidRPr="00427BE7" w:rsidRDefault="00976B0F" w:rsidP="00920EA0">
      <w:pPr>
        <w:pStyle w:val="FootnoteText"/>
        <w:jc w:val="both"/>
        <w:rPr>
          <w:rFonts w:asciiTheme="majorHAnsi" w:hAnsiTheme="majorHAnsi"/>
          <w:color w:val="auto"/>
          <w:sz w:val="16"/>
          <w:szCs w:val="16"/>
          <w:lang w:val="es-ES"/>
        </w:rPr>
      </w:pPr>
      <w:r w:rsidRPr="00427BE7">
        <w:rPr>
          <w:rStyle w:val="FootnoteReference"/>
          <w:rFonts w:asciiTheme="majorHAnsi" w:hAnsiTheme="majorHAnsi"/>
          <w:color w:val="auto"/>
          <w:sz w:val="16"/>
          <w:szCs w:val="16"/>
        </w:rPr>
        <w:footnoteRef/>
      </w:r>
      <w:r w:rsidRPr="00427BE7">
        <w:rPr>
          <w:rFonts w:asciiTheme="majorHAnsi" w:hAnsiTheme="majorHAnsi"/>
          <w:color w:val="auto"/>
          <w:sz w:val="16"/>
          <w:szCs w:val="16"/>
          <w:lang w:val="es-ES"/>
        </w:rPr>
        <w:t xml:space="preserve"> CIDH, Informe No. 65/11, Caso 12.600, Fondo, Hugo Quintana Coello y otros “Magistrados de la Corte Suprema de Justicia”, Ecuador, 31 de marzo de 2011, párr. 102; Corte IDH. </w:t>
      </w:r>
      <w:hyperlink r:id="rId5" w:history="1">
        <w:r w:rsidRPr="00427BE7">
          <w:rPr>
            <w:rStyle w:val="Hyperlink"/>
            <w:rFonts w:asciiTheme="majorHAnsi" w:hAnsiTheme="majorHAnsi" w:cs="Arial"/>
            <w:color w:val="auto"/>
            <w:sz w:val="16"/>
            <w:szCs w:val="16"/>
            <w:u w:val="none"/>
            <w:shd w:val="clear" w:color="auto" w:fill="FFFFFF"/>
            <w:lang w:val="es-ES"/>
          </w:rPr>
          <w:t>Caso Baena Ricardo y otros Vs. Panamá. Fondo, Reparaciones y Costas. Sentencia de 2 de febrero de 2001. Serie C No. 72</w:t>
        </w:r>
      </w:hyperlink>
      <w:r w:rsidRPr="00427BE7">
        <w:rPr>
          <w:rFonts w:asciiTheme="majorHAnsi" w:hAnsiTheme="majorHAnsi"/>
          <w:color w:val="auto"/>
          <w:sz w:val="16"/>
          <w:szCs w:val="16"/>
          <w:lang w:val="es-ES"/>
        </w:rPr>
        <w:t xml:space="preserve">, párrs. 126-127; </w:t>
      </w:r>
      <w:hyperlink r:id="rId6" w:history="1">
        <w:r w:rsidRPr="00427BE7">
          <w:rPr>
            <w:rStyle w:val="Hyperlink"/>
            <w:rFonts w:asciiTheme="majorHAnsi" w:hAnsiTheme="majorHAnsi" w:cs="Arial"/>
            <w:color w:val="auto"/>
            <w:sz w:val="16"/>
            <w:szCs w:val="16"/>
            <w:u w:val="none"/>
            <w:shd w:val="clear" w:color="auto" w:fill="FFFFFF"/>
            <w:lang w:val="es-ES"/>
          </w:rPr>
          <w:t>Caso del Tribunal Constitucional Vs. Perú. Fondo, Reparaciones y Costas. Sentencia de 31 de enero de 2001. Serie C No. 71</w:t>
        </w:r>
      </w:hyperlink>
      <w:r w:rsidRPr="00427BE7">
        <w:rPr>
          <w:rFonts w:asciiTheme="majorHAnsi" w:hAnsiTheme="majorHAnsi"/>
          <w:color w:val="auto"/>
          <w:sz w:val="16"/>
          <w:szCs w:val="16"/>
          <w:lang w:val="es-ES"/>
        </w:rPr>
        <w:t xml:space="preserve">, párrs. 69-70; y </w:t>
      </w:r>
      <w:hyperlink r:id="rId7" w:history="1">
        <w:r w:rsidRPr="00427BE7">
          <w:rPr>
            <w:rStyle w:val="Hyperlink"/>
            <w:rFonts w:asciiTheme="majorHAnsi" w:hAnsiTheme="majorHAnsi" w:cs="Arial"/>
            <w:color w:val="auto"/>
            <w:sz w:val="16"/>
            <w:szCs w:val="16"/>
            <w:u w:val="none"/>
            <w:shd w:val="clear" w:color="auto" w:fill="FFFFFF"/>
            <w:lang w:val="es-ES"/>
          </w:rPr>
          <w:t>Caso López Mendoza Vs. Venezuela. Fondo Reparaciones y Costas. Sentencia de 1 de septiembre de 2011 Serie C No. 233</w:t>
        </w:r>
      </w:hyperlink>
      <w:r w:rsidRPr="00427BE7">
        <w:rPr>
          <w:rFonts w:asciiTheme="majorHAnsi" w:hAnsiTheme="majorHAnsi"/>
          <w:color w:val="auto"/>
          <w:sz w:val="16"/>
          <w:szCs w:val="16"/>
          <w:lang w:val="es-ES"/>
        </w:rPr>
        <w:t xml:space="preserve">, párr. 111. </w:t>
      </w:r>
    </w:p>
  </w:footnote>
  <w:footnote w:id="20">
    <w:p w14:paraId="053E3367" w14:textId="77777777" w:rsidR="00976B0F" w:rsidRPr="00427BE7" w:rsidRDefault="00976B0F" w:rsidP="00745E69">
      <w:pPr>
        <w:pStyle w:val="FootnoteText"/>
        <w:spacing w:after="120"/>
        <w:jc w:val="both"/>
        <w:rPr>
          <w:rFonts w:asciiTheme="majorHAnsi" w:hAnsiTheme="majorHAnsi"/>
          <w:sz w:val="16"/>
          <w:szCs w:val="16"/>
          <w:lang w:val="es-ES"/>
        </w:rPr>
      </w:pPr>
      <w:r w:rsidRPr="00427BE7">
        <w:rPr>
          <w:rStyle w:val="FootnoteReference"/>
          <w:rFonts w:asciiTheme="majorHAnsi" w:hAnsiTheme="majorHAnsi"/>
          <w:sz w:val="16"/>
          <w:szCs w:val="16"/>
        </w:rPr>
        <w:footnoteRef/>
      </w:r>
      <w:r w:rsidRPr="00427BE7">
        <w:rPr>
          <w:rFonts w:asciiTheme="majorHAnsi" w:hAnsiTheme="majorHAnsi"/>
          <w:sz w:val="16"/>
          <w:szCs w:val="16"/>
          <w:lang w:val="es-ES"/>
        </w:rPr>
        <w:t xml:space="preserve"> Corte IDH. </w:t>
      </w:r>
      <w:hyperlink r:id="rId8" w:history="1">
        <w:r w:rsidRPr="00427BE7">
          <w:rPr>
            <w:rStyle w:val="Hyperlink"/>
            <w:rFonts w:asciiTheme="majorHAnsi" w:hAnsiTheme="majorHAnsi" w:cs="Arial"/>
            <w:color w:val="auto"/>
            <w:sz w:val="16"/>
            <w:szCs w:val="16"/>
            <w:u w:val="none"/>
            <w:shd w:val="clear" w:color="auto" w:fill="FFFFFF"/>
            <w:lang w:val="es-ES"/>
          </w:rPr>
          <w:t>Caso Barbani Duarte y Otros Vs. Uruguay. Fondo Reparaciones y costas. Sentencia de 13 de octubre de 2011. Serie C No. 234</w:t>
        </w:r>
      </w:hyperlink>
      <w:r w:rsidRPr="00427BE7">
        <w:rPr>
          <w:rFonts w:asciiTheme="majorHAnsi" w:hAnsiTheme="majorHAnsi"/>
          <w:sz w:val="16"/>
          <w:szCs w:val="16"/>
          <w:lang w:val="es-ES"/>
        </w:rPr>
        <w:t xml:space="preserve">, párr. 118; y </w:t>
      </w:r>
      <w:hyperlink r:id="rId9" w:history="1">
        <w:r w:rsidRPr="00427BE7">
          <w:rPr>
            <w:rStyle w:val="Hyperlink"/>
            <w:rFonts w:asciiTheme="majorHAnsi" w:hAnsiTheme="majorHAnsi" w:cs="Arial"/>
            <w:color w:val="auto"/>
            <w:sz w:val="16"/>
            <w:szCs w:val="16"/>
            <w:u w:val="none"/>
            <w:shd w:val="clear" w:color="auto" w:fill="FFFFFF"/>
            <w:lang w:val="es-ES"/>
          </w:rPr>
          <w:t>Caso Claude Reyes y otros Vs. Chile. Fondo, Reparaciones y Costas. Sentencia de 19 de septiembre de 2006. Serie C No. 151</w:t>
        </w:r>
      </w:hyperlink>
      <w:r w:rsidRPr="00427BE7">
        <w:rPr>
          <w:rFonts w:asciiTheme="majorHAnsi" w:hAnsiTheme="majorHAnsi"/>
          <w:sz w:val="16"/>
          <w:szCs w:val="16"/>
          <w:lang w:val="es-ES"/>
        </w:rPr>
        <w:t>, párr. 118.</w:t>
      </w:r>
    </w:p>
  </w:footnote>
  <w:footnote w:id="21">
    <w:p w14:paraId="3E46992F" w14:textId="2D6CCC71" w:rsidR="00976B0F" w:rsidRPr="00427BE7" w:rsidRDefault="00976B0F" w:rsidP="00BB26A5">
      <w:pPr>
        <w:pStyle w:val="FootnoteText"/>
        <w:rPr>
          <w:rFonts w:asciiTheme="majorHAnsi" w:hAnsiTheme="majorHAnsi"/>
          <w:sz w:val="16"/>
          <w:szCs w:val="16"/>
        </w:rPr>
      </w:pPr>
      <w:r w:rsidRPr="00427BE7">
        <w:rPr>
          <w:rStyle w:val="FootnoteReference"/>
          <w:rFonts w:asciiTheme="majorHAnsi" w:hAnsiTheme="majorHAnsi"/>
          <w:sz w:val="16"/>
          <w:szCs w:val="16"/>
        </w:rPr>
        <w:footnoteRef/>
      </w:r>
      <w:r w:rsidRPr="00513617">
        <w:rPr>
          <w:rFonts w:asciiTheme="majorHAnsi" w:hAnsiTheme="majorHAnsi"/>
          <w:sz w:val="16"/>
          <w:szCs w:val="16"/>
        </w:rPr>
        <w:t xml:space="preserve"> TEDH, Cudak v. Luthania. </w:t>
      </w:r>
      <w:r w:rsidRPr="00427BE7">
        <w:rPr>
          <w:rFonts w:asciiTheme="majorHAnsi" w:hAnsiTheme="majorHAnsi"/>
          <w:sz w:val="16"/>
          <w:szCs w:val="16"/>
        </w:rPr>
        <w:t xml:space="preserve">Application No. 15869/025. </w:t>
      </w:r>
      <w:r w:rsidR="00256006">
        <w:rPr>
          <w:rFonts w:asciiTheme="majorHAnsi" w:hAnsiTheme="majorHAnsi"/>
          <w:sz w:val="16"/>
          <w:szCs w:val="16"/>
        </w:rPr>
        <w:t>Judgment of March 23, 2010, párr</w:t>
      </w:r>
      <w:r w:rsidRPr="00427BE7">
        <w:rPr>
          <w:rFonts w:asciiTheme="majorHAnsi" w:hAnsiTheme="majorHAnsi"/>
          <w:sz w:val="16"/>
          <w:szCs w:val="16"/>
        </w:rPr>
        <w:t>.42.</w:t>
      </w:r>
    </w:p>
  </w:footnote>
  <w:footnote w:id="22">
    <w:p w14:paraId="356F84B4" w14:textId="77777777" w:rsidR="00976B0F" w:rsidRPr="00AF162B" w:rsidRDefault="00976B0F" w:rsidP="00745E69">
      <w:pPr>
        <w:pStyle w:val="FootnoteText"/>
        <w:spacing w:after="120"/>
        <w:rPr>
          <w:rFonts w:asciiTheme="majorHAnsi" w:hAnsiTheme="majorHAnsi"/>
          <w:sz w:val="16"/>
          <w:szCs w:val="16"/>
          <w:lang w:val="es-ES"/>
        </w:rPr>
      </w:pPr>
      <w:r w:rsidRPr="00427BE7">
        <w:rPr>
          <w:rStyle w:val="FootnoteReference"/>
          <w:rFonts w:asciiTheme="majorHAnsi" w:hAnsiTheme="majorHAnsi"/>
          <w:sz w:val="16"/>
          <w:szCs w:val="16"/>
        </w:rPr>
        <w:footnoteRef/>
      </w:r>
      <w:r w:rsidRPr="00513617">
        <w:rPr>
          <w:rFonts w:asciiTheme="majorHAnsi" w:hAnsiTheme="majorHAnsi"/>
          <w:sz w:val="16"/>
          <w:szCs w:val="16"/>
        </w:rPr>
        <w:t xml:space="preserve"> Corte IDH. </w:t>
      </w:r>
      <w:hyperlink r:id="rId10" w:history="1">
        <w:r w:rsidRPr="00427BE7">
          <w:rPr>
            <w:rStyle w:val="Hyperlink"/>
            <w:rFonts w:asciiTheme="majorHAnsi" w:hAnsiTheme="majorHAnsi" w:cs="Arial"/>
            <w:color w:val="auto"/>
            <w:sz w:val="16"/>
            <w:szCs w:val="16"/>
            <w:u w:val="none"/>
            <w:shd w:val="clear" w:color="auto" w:fill="FFFFFF"/>
            <w:lang w:val="es-ES"/>
          </w:rPr>
          <w:t>Caso Barbani Duarte y Otros Vs. Uruguay. Fondo Reparaciones y costas. Sentencia de 13 de octubre de 2011. Serie C No. 234</w:t>
        </w:r>
      </w:hyperlink>
      <w:r w:rsidRPr="00427BE7">
        <w:rPr>
          <w:rFonts w:asciiTheme="majorHAnsi" w:hAnsiTheme="majorHAnsi"/>
          <w:sz w:val="16"/>
          <w:szCs w:val="16"/>
          <w:lang w:val="es-ES"/>
        </w:rPr>
        <w:t>, párrs. 118-119.</w:t>
      </w:r>
    </w:p>
  </w:footnote>
  <w:footnote w:id="23">
    <w:p w14:paraId="1242C50F" w14:textId="77777777" w:rsidR="00976B0F" w:rsidRPr="001E3078" w:rsidRDefault="00976B0F" w:rsidP="0084344B">
      <w:pPr>
        <w:jc w:val="both"/>
        <w:rPr>
          <w:rFonts w:ascii="Cambria" w:eastAsia="Times New Roman" w:hAnsi="Cambria"/>
          <w:sz w:val="16"/>
          <w:szCs w:val="16"/>
          <w:lang w:val="es-MX"/>
        </w:rPr>
      </w:pPr>
      <w:r w:rsidRPr="001E3078">
        <w:rPr>
          <w:rStyle w:val="FootnoteReference"/>
          <w:rFonts w:ascii="Cambria" w:hAnsi="Cambria"/>
          <w:sz w:val="16"/>
          <w:szCs w:val="16"/>
        </w:rPr>
        <w:footnoteRef/>
      </w:r>
      <w:r w:rsidRPr="001E3078">
        <w:rPr>
          <w:rFonts w:ascii="Cambria" w:hAnsi="Cambria"/>
          <w:sz w:val="16"/>
          <w:szCs w:val="16"/>
          <w:lang w:val="es-CO"/>
        </w:rPr>
        <w:t xml:space="preserve"> CIDH, Informe de Fondo 12.816, Informe No. 103/13, 5 de noviembre de 2013, párr. 112. Citando </w:t>
      </w:r>
      <w:r w:rsidRPr="001E3078">
        <w:rPr>
          <w:rFonts w:ascii="Cambria" w:eastAsia="Times New Roman" w:hAnsi="Cambria"/>
          <w:sz w:val="16"/>
          <w:szCs w:val="16"/>
          <w:lang w:val="es-MX"/>
        </w:rPr>
        <w:t>Naciones Unidas. Comité de Derechos Humanos. Observación General No. 32, CCPR/C/GC/32, 23 de agosto de 2007, párr.19. Ver en este sentido Cfr. El Hábeas Corpus Bajo Suspensión de Garantías (arts. 27.2, 25.1 y 7.6 Convención Americana sobre Derechos Humanos). Opinión Consultiva OC-8/87 del 30 de enero de 1987. Serie A No. 8, párr. 30.</w:t>
      </w:r>
      <w:r w:rsidRPr="001E3078">
        <w:rPr>
          <w:rFonts w:ascii="Cambria" w:hAnsi="Cambria"/>
          <w:sz w:val="16"/>
          <w:szCs w:val="16"/>
          <w:lang w:val="es-MX"/>
        </w:rPr>
        <w:t xml:space="preserve"> Ver también, CIDH, Democracia y Derechos Humanos en Venezuela, III. La Separación e independencia de los poderes públicos, 30 de diciembre de 2009. párr. 80.</w:t>
      </w:r>
    </w:p>
  </w:footnote>
  <w:footnote w:id="24">
    <w:p w14:paraId="268E97DC" w14:textId="77777777" w:rsidR="00976B0F" w:rsidRPr="00277115" w:rsidRDefault="00976B0F" w:rsidP="0084344B">
      <w:pPr>
        <w:pStyle w:val="FootnoteText"/>
        <w:jc w:val="both"/>
        <w:rPr>
          <w:rFonts w:ascii="Cambria" w:hAnsi="Cambria"/>
          <w:sz w:val="16"/>
          <w:szCs w:val="16"/>
          <w:lang w:val="es-CO"/>
        </w:rPr>
      </w:pPr>
      <w:r w:rsidRPr="001E3078">
        <w:rPr>
          <w:rFonts w:ascii="Cambria" w:hAnsi="Cambria"/>
          <w:sz w:val="16"/>
          <w:szCs w:val="16"/>
          <w:vertAlign w:val="superscript"/>
          <w:lang w:val="es-CO"/>
        </w:rPr>
        <w:footnoteRef/>
      </w:r>
      <w:r w:rsidRPr="001E3078">
        <w:rPr>
          <w:rFonts w:ascii="Cambria" w:hAnsi="Cambria"/>
          <w:sz w:val="16"/>
          <w:szCs w:val="16"/>
          <w:lang w:val="es-CO"/>
        </w:rPr>
        <w:t xml:space="preserve"> Corte </w:t>
      </w:r>
      <w:r>
        <w:rPr>
          <w:rFonts w:ascii="Cambria" w:hAnsi="Cambria"/>
          <w:sz w:val="16"/>
          <w:szCs w:val="16"/>
          <w:lang w:val="es-CO"/>
        </w:rPr>
        <w:t>IDH.</w:t>
      </w:r>
      <w:r w:rsidRPr="001E3078">
        <w:rPr>
          <w:rFonts w:ascii="Cambria" w:hAnsi="Cambria"/>
          <w:sz w:val="16"/>
          <w:szCs w:val="16"/>
          <w:lang w:val="es-CO"/>
        </w:rPr>
        <w:t xml:space="preserve"> </w:t>
      </w:r>
      <w:r w:rsidRPr="00277115">
        <w:rPr>
          <w:rFonts w:ascii="Cambria" w:hAnsi="Cambria"/>
          <w:sz w:val="16"/>
          <w:szCs w:val="16"/>
          <w:lang w:val="es-CO"/>
        </w:rPr>
        <w:t xml:space="preserve">Caso Reverón Trujillo Vs. Venezuela. Excepción Preliminar, Fondo, Reparaciones y Costas. Sentencia de 30 de junio de 2009. Serie C No. 197, párr. 67; CIDH, Democracia y Derechos Humanos, 30 de diciembre de 2009, párr. 185; CIDH, Segundo Informe sobre la Situación de las Defensoras y los Defensores de Derechos Humanos, 31 de diciembre de 2011, párr. 359. </w:t>
      </w:r>
    </w:p>
  </w:footnote>
  <w:footnote w:id="25">
    <w:p w14:paraId="47648A5E" w14:textId="77777777" w:rsidR="00976B0F" w:rsidRPr="00277115" w:rsidRDefault="00976B0F" w:rsidP="0084344B">
      <w:pPr>
        <w:pStyle w:val="FootnoteText"/>
        <w:jc w:val="both"/>
        <w:rPr>
          <w:rFonts w:ascii="Cambria" w:hAnsi="Cambria"/>
          <w:sz w:val="16"/>
          <w:szCs w:val="16"/>
          <w:lang w:val="es-CO"/>
        </w:rPr>
      </w:pPr>
      <w:r w:rsidRPr="00277115">
        <w:rPr>
          <w:rFonts w:ascii="Cambria" w:hAnsi="Cambria"/>
          <w:sz w:val="16"/>
          <w:szCs w:val="16"/>
          <w:vertAlign w:val="superscript"/>
          <w:lang w:val="es-CO"/>
        </w:rPr>
        <w:footnoteRef/>
      </w:r>
      <w:r w:rsidRPr="00277115">
        <w:rPr>
          <w:rFonts w:ascii="Cambria" w:hAnsi="Cambria"/>
          <w:sz w:val="16"/>
          <w:szCs w:val="16"/>
          <w:lang w:val="es-CO"/>
        </w:rPr>
        <w:t xml:space="preserve"> Así, por ejemplo, la Corte Interamericana ha señalado que de las obligaciones que tiene el Estado para los justiciables sujetos a procesos ante los tribunales surgen a su vez “derechos para los jueces”, entre ellos, la Corte ha señalado que “la garantía de no estar sujeto a libre remoción conlleva a que los procesos disciplinarios y sancionatorios de jueces deben necesariamente respetar las garantías del debido proceso y debe ofrecerse a los perjudicado</w:t>
      </w:r>
      <w:r>
        <w:rPr>
          <w:rFonts w:ascii="Cambria" w:hAnsi="Cambria"/>
          <w:sz w:val="16"/>
          <w:szCs w:val="16"/>
          <w:lang w:val="es-CO"/>
        </w:rPr>
        <w:t>s un recurso efectivo”. Corte IDH.</w:t>
      </w:r>
      <w:r w:rsidRPr="00277115">
        <w:rPr>
          <w:rFonts w:ascii="Cambria" w:hAnsi="Cambria"/>
          <w:sz w:val="16"/>
          <w:szCs w:val="16"/>
          <w:lang w:val="es-CO"/>
        </w:rPr>
        <w:t xml:space="preserve"> Caso Apitz Barbera y otros (“Corte Primera de lo Contencioso Administrativo”) Vs. Venezuela. Excepción Preliminar, Fondo, Reparaciones y Costas. Sentencia de 5 de agosto de 2008. Serie C No. 182, párr. 147.</w:t>
      </w:r>
    </w:p>
  </w:footnote>
  <w:footnote w:id="26">
    <w:p w14:paraId="771D21DF" w14:textId="77777777" w:rsidR="00976B0F" w:rsidRPr="00277115" w:rsidRDefault="00976B0F" w:rsidP="0084344B">
      <w:pPr>
        <w:jc w:val="both"/>
        <w:rPr>
          <w:rFonts w:ascii="Cambria" w:eastAsia="Times New Roman" w:hAnsi="Cambria"/>
          <w:sz w:val="16"/>
          <w:szCs w:val="16"/>
          <w:lang w:val="es-MX"/>
        </w:rPr>
      </w:pPr>
      <w:r w:rsidRPr="00277115">
        <w:rPr>
          <w:rStyle w:val="FootnoteReference"/>
          <w:rFonts w:ascii="Cambria" w:hAnsi="Cambria"/>
          <w:sz w:val="16"/>
          <w:szCs w:val="16"/>
        </w:rPr>
        <w:footnoteRef/>
      </w:r>
      <w:r w:rsidRPr="00277115">
        <w:rPr>
          <w:rFonts w:ascii="Cambria" w:hAnsi="Cambria"/>
          <w:sz w:val="16"/>
          <w:szCs w:val="16"/>
          <w:lang w:val="es-MX"/>
        </w:rPr>
        <w:t xml:space="preserve">CIDH, Informe sobre las Garantías para la Independencia de las y los Operadores de Justicia. Hacia el fortalecimiento del acceso a la justicia y el estado de derecho en las Américas,  5 de diciembre de 2013, párrs. 56, 109 y 184, </w:t>
      </w:r>
      <w:r w:rsidRPr="00277115">
        <w:rPr>
          <w:rFonts w:ascii="Cambria" w:eastAsia="Times New Roman" w:hAnsi="Cambria"/>
          <w:bCs/>
          <w:sz w:val="16"/>
          <w:szCs w:val="16"/>
          <w:shd w:val="clear" w:color="auto" w:fill="FFFFFF"/>
          <w:lang w:val="es-MX"/>
        </w:rPr>
        <w:t>Corte IDH. Caso López Lone y otros Vs. Honduras. Excepción Preliminar, Fondo, Reparaciones y Costas. Sentencia de 5 de octubre de 2015. Serie C No. 302, párr. 191.</w:t>
      </w:r>
    </w:p>
  </w:footnote>
  <w:footnote w:id="27">
    <w:p w14:paraId="33A94D2A" w14:textId="77777777" w:rsidR="00976B0F" w:rsidRPr="00AF162B" w:rsidRDefault="00976B0F" w:rsidP="00825109">
      <w:pPr>
        <w:pStyle w:val="FootnoteText"/>
        <w:jc w:val="both"/>
        <w:rPr>
          <w:rFonts w:asciiTheme="majorHAnsi" w:hAnsiTheme="majorHAnsi"/>
          <w:sz w:val="16"/>
          <w:szCs w:val="16"/>
          <w:lang w:val="es-VE"/>
        </w:rPr>
      </w:pPr>
      <w:r w:rsidRPr="00AF162B">
        <w:rPr>
          <w:rStyle w:val="FootnoteReference"/>
          <w:rFonts w:asciiTheme="majorHAnsi" w:hAnsiTheme="majorHAnsi"/>
          <w:sz w:val="16"/>
          <w:szCs w:val="16"/>
        </w:rPr>
        <w:footnoteRef/>
      </w:r>
      <w:r w:rsidRPr="00AF162B">
        <w:rPr>
          <w:rFonts w:asciiTheme="majorHAnsi" w:hAnsiTheme="majorHAnsi"/>
          <w:sz w:val="16"/>
          <w:szCs w:val="16"/>
          <w:lang w:val="es-CO"/>
        </w:rPr>
        <w:t xml:space="preserve"> Corte IDH. Caso López Lone y otros Vs. Honduras. Excepción Preliminar, Fondo, Reparaciones y Costas. Sentencia de  05 de octubre de 2015. Serie C No. 302, párr. 259.</w:t>
      </w:r>
    </w:p>
  </w:footnote>
  <w:footnote w:id="28">
    <w:p w14:paraId="0102267E" w14:textId="77777777" w:rsidR="00976B0F" w:rsidRPr="00AF162B" w:rsidRDefault="00976B0F" w:rsidP="00825109">
      <w:pPr>
        <w:pStyle w:val="FootnoteText"/>
        <w:rPr>
          <w:rFonts w:asciiTheme="majorHAnsi" w:hAnsiTheme="majorHAnsi"/>
          <w:sz w:val="16"/>
          <w:szCs w:val="16"/>
          <w:lang w:val="es-ES_tradnl"/>
        </w:rPr>
      </w:pPr>
      <w:r w:rsidRPr="00AF162B">
        <w:rPr>
          <w:rStyle w:val="FootnoteReference"/>
          <w:rFonts w:asciiTheme="majorHAnsi" w:hAnsiTheme="majorHAnsi"/>
          <w:sz w:val="16"/>
          <w:szCs w:val="16"/>
        </w:rPr>
        <w:footnoteRef/>
      </w:r>
      <w:r w:rsidRPr="00AF162B">
        <w:rPr>
          <w:rFonts w:asciiTheme="majorHAnsi" w:hAnsiTheme="majorHAnsi"/>
          <w:sz w:val="16"/>
          <w:szCs w:val="16"/>
          <w:lang w:val="es-CO"/>
        </w:rPr>
        <w:t xml:space="preserve"> </w:t>
      </w:r>
      <w:r w:rsidRPr="00AF162B">
        <w:rPr>
          <w:rFonts w:asciiTheme="majorHAnsi" w:hAnsiTheme="majorHAnsi"/>
          <w:sz w:val="16"/>
          <w:szCs w:val="16"/>
          <w:lang w:val="es-ES_tradnl"/>
        </w:rPr>
        <w:t>Corte IDH. Caso Apitz Barbera y otros (“Corte Primera de lo Contencioso Administrativo”) vs. Venezuela. Excepción Preliminar, Fondo, Reparaciones y Costas. Sentencia de 5 de agosto de 2008, Serie C No.182, párr.43.</w:t>
      </w:r>
    </w:p>
  </w:footnote>
  <w:footnote w:id="29">
    <w:p w14:paraId="4A8B6845" w14:textId="77777777" w:rsidR="00976B0F" w:rsidRPr="00375DD2" w:rsidRDefault="00976B0F" w:rsidP="002020EC">
      <w:pPr>
        <w:pStyle w:val="FootnoteText"/>
        <w:rPr>
          <w:rFonts w:asciiTheme="majorHAnsi" w:hAnsiTheme="majorHAnsi"/>
          <w:sz w:val="16"/>
          <w:szCs w:val="16"/>
          <w:lang w:val="es-ES_tradnl"/>
        </w:rPr>
      </w:pPr>
      <w:r w:rsidRPr="00375DD2">
        <w:rPr>
          <w:rStyle w:val="FootnoteReference"/>
          <w:rFonts w:asciiTheme="majorHAnsi" w:hAnsiTheme="majorHAnsi"/>
          <w:sz w:val="16"/>
          <w:szCs w:val="16"/>
        </w:rPr>
        <w:footnoteRef/>
      </w:r>
      <w:r w:rsidRPr="00375DD2">
        <w:rPr>
          <w:rFonts w:asciiTheme="majorHAnsi" w:hAnsiTheme="majorHAnsi"/>
          <w:sz w:val="16"/>
          <w:szCs w:val="16"/>
          <w:lang w:val="es-VE"/>
        </w:rPr>
        <w:t xml:space="preserve"> CIDH, Demanda ante la Corte Interamericana de Derechos Humanos en el caso Mercedes Chocrón Chocrón, Caso 12.556, </w:t>
      </w:r>
      <w:r w:rsidRPr="00375DD2">
        <w:rPr>
          <w:rFonts w:asciiTheme="majorHAnsi" w:hAnsiTheme="majorHAnsi"/>
          <w:sz w:val="16"/>
          <w:szCs w:val="16"/>
          <w:lang w:val="es-ES_tradnl"/>
        </w:rPr>
        <w:t>párr.78.</w:t>
      </w:r>
    </w:p>
  </w:footnote>
  <w:footnote w:id="30">
    <w:p w14:paraId="612BF742" w14:textId="77777777" w:rsidR="00976B0F" w:rsidRPr="00375DD2" w:rsidRDefault="00976B0F">
      <w:pPr>
        <w:pStyle w:val="FootnoteText"/>
        <w:rPr>
          <w:rFonts w:asciiTheme="majorHAnsi" w:hAnsiTheme="majorHAnsi"/>
          <w:sz w:val="16"/>
          <w:szCs w:val="16"/>
          <w:lang w:val="es-VE"/>
        </w:rPr>
      </w:pPr>
      <w:r w:rsidRPr="00375DD2">
        <w:rPr>
          <w:rStyle w:val="FootnoteReference"/>
          <w:rFonts w:asciiTheme="majorHAnsi" w:hAnsiTheme="majorHAnsi"/>
          <w:sz w:val="16"/>
          <w:szCs w:val="16"/>
        </w:rPr>
        <w:footnoteRef/>
      </w:r>
      <w:r w:rsidRPr="00375DD2">
        <w:rPr>
          <w:rFonts w:asciiTheme="majorHAnsi" w:hAnsiTheme="majorHAnsi"/>
          <w:sz w:val="16"/>
          <w:szCs w:val="16"/>
          <w:lang w:val="es-VE"/>
        </w:rPr>
        <w:t xml:space="preserve"> CIDH, Segundo Informe sobre la Situación de los Derechos Humanos en el Perú, Capítulo II, Administración de Justicia y Estado de Derecho,</w:t>
      </w:r>
      <w:r>
        <w:rPr>
          <w:rFonts w:asciiTheme="majorHAnsi" w:hAnsiTheme="majorHAnsi"/>
          <w:sz w:val="16"/>
          <w:szCs w:val="16"/>
          <w:lang w:val="es-VE"/>
        </w:rPr>
        <w:t xml:space="preserve"> OEA</w:t>
      </w:r>
      <w:r w:rsidRPr="00375DD2">
        <w:rPr>
          <w:rFonts w:asciiTheme="majorHAnsi" w:hAnsiTheme="majorHAnsi"/>
          <w:sz w:val="16"/>
          <w:szCs w:val="16"/>
          <w:lang w:val="es-VE"/>
        </w:rPr>
        <w:t>/Ser.L/V/II.106 Doc. 5</w:t>
      </w:r>
      <w:r>
        <w:rPr>
          <w:rFonts w:asciiTheme="majorHAnsi" w:hAnsiTheme="majorHAnsi"/>
          <w:sz w:val="16"/>
          <w:szCs w:val="16"/>
          <w:lang w:val="es-VE"/>
        </w:rPr>
        <w:t>9 rev</w:t>
      </w:r>
      <w:r w:rsidRPr="00375DD2">
        <w:rPr>
          <w:rFonts w:asciiTheme="majorHAnsi" w:hAnsiTheme="majorHAnsi"/>
          <w:sz w:val="16"/>
          <w:szCs w:val="16"/>
          <w:lang w:val="es-VE"/>
        </w:rPr>
        <w:t>, 2 de junio de 2000, párr.15</w:t>
      </w:r>
      <w:r>
        <w:rPr>
          <w:rFonts w:asciiTheme="majorHAnsi" w:hAnsiTheme="majorHAnsi"/>
          <w:sz w:val="16"/>
          <w:szCs w:val="16"/>
          <w:lang w:val="es-VE"/>
        </w:rPr>
        <w:t>.</w:t>
      </w:r>
    </w:p>
  </w:footnote>
  <w:footnote w:id="31">
    <w:p w14:paraId="6EB97C42" w14:textId="77777777" w:rsidR="00976B0F" w:rsidRPr="00375DD2" w:rsidRDefault="00976B0F" w:rsidP="00F64E35">
      <w:pPr>
        <w:pStyle w:val="FootnoteText"/>
        <w:rPr>
          <w:rFonts w:asciiTheme="majorHAnsi" w:hAnsiTheme="majorHAnsi"/>
          <w:sz w:val="16"/>
          <w:szCs w:val="16"/>
          <w:lang w:val="es-VE"/>
        </w:rPr>
      </w:pPr>
      <w:r w:rsidRPr="00375DD2">
        <w:rPr>
          <w:rStyle w:val="FootnoteReference"/>
          <w:rFonts w:asciiTheme="majorHAnsi" w:hAnsiTheme="majorHAnsi"/>
          <w:sz w:val="16"/>
          <w:szCs w:val="16"/>
        </w:rPr>
        <w:footnoteRef/>
      </w:r>
      <w:r w:rsidRPr="00375DD2">
        <w:rPr>
          <w:rFonts w:asciiTheme="majorHAnsi" w:hAnsiTheme="majorHAnsi"/>
          <w:sz w:val="16"/>
          <w:szCs w:val="16"/>
          <w:lang w:val="es-VE"/>
        </w:rPr>
        <w:t xml:space="preserve"> Ver por ejemplo CIDH,  Politicas integrales de protección de personas defensoras,  OEA/Ser.L/V/II.Doc.207/17, 29 de diciembre de 2017, párr. 47.</w:t>
      </w:r>
    </w:p>
  </w:footnote>
  <w:footnote w:id="32">
    <w:p w14:paraId="5CE0F5A6" w14:textId="77777777" w:rsidR="00976B0F" w:rsidRPr="00AF162B" w:rsidRDefault="00976B0F" w:rsidP="00F64E35">
      <w:pPr>
        <w:pStyle w:val="FootnoteText"/>
        <w:rPr>
          <w:rFonts w:asciiTheme="majorHAnsi" w:hAnsiTheme="majorHAnsi"/>
          <w:sz w:val="16"/>
          <w:szCs w:val="16"/>
          <w:lang w:val="es-VE"/>
        </w:rPr>
      </w:pPr>
      <w:r w:rsidRPr="00375DD2">
        <w:rPr>
          <w:rStyle w:val="FootnoteReference"/>
          <w:rFonts w:asciiTheme="majorHAnsi" w:hAnsiTheme="majorHAnsi"/>
          <w:sz w:val="16"/>
          <w:szCs w:val="16"/>
        </w:rPr>
        <w:footnoteRef/>
      </w:r>
      <w:r w:rsidRPr="00375DD2">
        <w:rPr>
          <w:rFonts w:asciiTheme="majorHAnsi" w:hAnsiTheme="majorHAnsi"/>
          <w:sz w:val="16"/>
          <w:szCs w:val="16"/>
          <w:lang w:val="es-VE"/>
        </w:rPr>
        <w:t xml:space="preserve">  Naciones Unidas. Directrices sobre la Función de los Fiscales. Aprobadas por el Octavo Congreso de las Naciones Unidas sobre Prevención del Delito y Tratamiento del Delincuente, celebrado en La Habana (Cuba) del 27 de agosto al 7 de septiembre de 1990.</w:t>
      </w:r>
    </w:p>
  </w:footnote>
  <w:footnote w:id="33">
    <w:p w14:paraId="3D3CBCF1" w14:textId="45AEC31E" w:rsidR="00976B0F" w:rsidRPr="00AF162B" w:rsidRDefault="00976B0F" w:rsidP="00F64E35">
      <w:pPr>
        <w:pStyle w:val="FootnoteText"/>
        <w:rPr>
          <w:rFonts w:asciiTheme="majorHAnsi" w:hAnsiTheme="majorHAnsi"/>
          <w:sz w:val="16"/>
          <w:szCs w:val="16"/>
          <w:lang w:val="es-VE"/>
        </w:rPr>
      </w:pPr>
      <w:r w:rsidRPr="00AF162B">
        <w:rPr>
          <w:rStyle w:val="FootnoteReference"/>
          <w:rFonts w:asciiTheme="majorHAnsi" w:hAnsiTheme="majorHAnsi"/>
          <w:sz w:val="16"/>
          <w:szCs w:val="16"/>
        </w:rPr>
        <w:footnoteRef/>
      </w:r>
      <w:r w:rsidRPr="00AF162B">
        <w:rPr>
          <w:rFonts w:asciiTheme="majorHAnsi" w:hAnsiTheme="majorHAnsi"/>
          <w:sz w:val="16"/>
          <w:szCs w:val="16"/>
          <w:lang w:val="es-VE"/>
        </w:rPr>
        <w:t xml:space="preserve"> Consejo Consultivo de Jueces Europeos y Consejo Consultivo de Fiscales Europeos. Declaración de Burdeos, sobre los jueces y fiscales en una sociedad democrática, Estrasburgo, 8 de dic</w:t>
      </w:r>
      <w:r w:rsidR="00454D40">
        <w:rPr>
          <w:rFonts w:asciiTheme="majorHAnsi" w:hAnsiTheme="majorHAnsi"/>
          <w:sz w:val="16"/>
          <w:szCs w:val="16"/>
          <w:lang w:val="es-VE"/>
        </w:rPr>
        <w:t xml:space="preserve">iembre de 2009,  párrs.10, 27 y </w:t>
      </w:r>
      <w:r w:rsidRPr="00AF162B">
        <w:rPr>
          <w:rFonts w:asciiTheme="majorHAnsi" w:hAnsiTheme="majorHAnsi"/>
          <w:sz w:val="16"/>
          <w:szCs w:val="16"/>
          <w:lang w:val="es-VE"/>
        </w:rPr>
        <w:t>37.</w:t>
      </w:r>
    </w:p>
  </w:footnote>
  <w:footnote w:id="34">
    <w:p w14:paraId="5E294902" w14:textId="77777777" w:rsidR="00976B0F" w:rsidRPr="00AF162B" w:rsidRDefault="00976B0F" w:rsidP="00F64E35">
      <w:pPr>
        <w:pStyle w:val="FootnoteText"/>
        <w:rPr>
          <w:rFonts w:asciiTheme="majorHAnsi" w:hAnsiTheme="majorHAnsi"/>
          <w:sz w:val="16"/>
          <w:szCs w:val="16"/>
        </w:rPr>
      </w:pPr>
      <w:r w:rsidRPr="00AF162B">
        <w:rPr>
          <w:rStyle w:val="FootnoteReference"/>
          <w:rFonts w:asciiTheme="majorHAnsi" w:hAnsiTheme="majorHAnsi"/>
          <w:sz w:val="16"/>
          <w:szCs w:val="16"/>
        </w:rPr>
        <w:footnoteRef/>
      </w:r>
      <w:r w:rsidRPr="00AF162B">
        <w:rPr>
          <w:rFonts w:asciiTheme="majorHAnsi" w:hAnsiTheme="majorHAnsi"/>
          <w:sz w:val="16"/>
          <w:szCs w:val="16"/>
        </w:rPr>
        <w:t xml:space="preserve"> Consultative Council of European Prosecutors, Opinion No. 9 (2014), Rome Charter, puntos IV y V.</w:t>
      </w:r>
    </w:p>
  </w:footnote>
  <w:footnote w:id="35">
    <w:p w14:paraId="70E2BB4C" w14:textId="77777777" w:rsidR="00976B0F" w:rsidRPr="00AF162B" w:rsidRDefault="00976B0F" w:rsidP="008E62A1">
      <w:pPr>
        <w:pStyle w:val="FootnoteText"/>
        <w:jc w:val="both"/>
        <w:rPr>
          <w:rFonts w:asciiTheme="majorHAnsi" w:hAnsiTheme="majorHAnsi"/>
          <w:sz w:val="16"/>
          <w:szCs w:val="16"/>
          <w:lang w:val="es-ES"/>
        </w:rPr>
      </w:pPr>
      <w:r w:rsidRPr="00AF162B">
        <w:rPr>
          <w:rStyle w:val="FootnoteReference"/>
          <w:rFonts w:asciiTheme="majorHAnsi" w:hAnsiTheme="majorHAnsi"/>
          <w:sz w:val="16"/>
          <w:szCs w:val="16"/>
        </w:rPr>
        <w:footnoteRef/>
      </w:r>
      <w:r w:rsidRPr="00AF162B">
        <w:rPr>
          <w:rFonts w:asciiTheme="majorHAnsi" w:hAnsiTheme="majorHAnsi"/>
          <w:sz w:val="16"/>
          <w:szCs w:val="16"/>
          <w:lang w:val="es-VE"/>
        </w:rPr>
        <w:t xml:space="preserve"> </w:t>
      </w:r>
      <w:r w:rsidRPr="00AF162B">
        <w:rPr>
          <w:rFonts w:asciiTheme="majorHAnsi" w:hAnsiTheme="majorHAnsi"/>
          <w:sz w:val="16"/>
          <w:szCs w:val="16"/>
          <w:lang w:val="es-ES"/>
        </w:rPr>
        <w:t xml:space="preserve">El artículo 8.1 de la Convención establece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footnote>
  <w:footnote w:id="36">
    <w:p w14:paraId="45385030" w14:textId="77777777" w:rsidR="00976B0F" w:rsidRPr="008B6EF2" w:rsidRDefault="00976B0F">
      <w:pPr>
        <w:pStyle w:val="FootnoteText"/>
        <w:rPr>
          <w:rFonts w:asciiTheme="majorHAnsi" w:hAnsiTheme="majorHAnsi"/>
          <w:sz w:val="16"/>
          <w:szCs w:val="16"/>
          <w:lang w:val="es-VE"/>
        </w:rPr>
      </w:pPr>
      <w:r w:rsidRPr="008B6EF2">
        <w:rPr>
          <w:rStyle w:val="FootnoteReference"/>
          <w:rFonts w:asciiTheme="majorHAnsi" w:hAnsiTheme="majorHAnsi"/>
          <w:sz w:val="16"/>
          <w:szCs w:val="16"/>
        </w:rPr>
        <w:footnoteRef/>
      </w:r>
      <w:r w:rsidRPr="008B6EF2">
        <w:rPr>
          <w:rFonts w:asciiTheme="majorHAnsi" w:hAnsiTheme="majorHAnsi"/>
          <w:sz w:val="16"/>
          <w:szCs w:val="16"/>
          <w:lang w:val="es-VE"/>
        </w:rPr>
        <w:t xml:space="preserve"> El artículo 8.2 de la Convención Americana establece que toda persona inculpada de delito tiene derecho a que se presuma su inocencia mientras no se establezca legalmente su culpabilidad. </w:t>
      </w:r>
    </w:p>
  </w:footnote>
  <w:footnote w:id="37">
    <w:p w14:paraId="1C692BC3" w14:textId="77777777" w:rsidR="00976B0F" w:rsidRPr="00AF162B" w:rsidRDefault="00976B0F" w:rsidP="004E259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0"/>
        <w:jc w:val="both"/>
        <w:rPr>
          <w:rFonts w:asciiTheme="majorHAnsi" w:hAnsiTheme="majorHAnsi"/>
          <w:sz w:val="16"/>
          <w:szCs w:val="16"/>
          <w:lang w:val="es-ES"/>
        </w:rPr>
      </w:pPr>
      <w:r w:rsidRPr="00AF162B">
        <w:rPr>
          <w:rStyle w:val="FootnoteReference"/>
          <w:rFonts w:asciiTheme="majorHAnsi" w:hAnsiTheme="majorHAnsi"/>
          <w:sz w:val="16"/>
          <w:szCs w:val="16"/>
        </w:rPr>
        <w:footnoteRef/>
      </w:r>
      <w:r w:rsidRPr="00AF162B">
        <w:rPr>
          <w:rFonts w:asciiTheme="majorHAnsi" w:hAnsiTheme="majorHAnsi"/>
          <w:sz w:val="16"/>
          <w:szCs w:val="16"/>
        </w:rPr>
        <w:t xml:space="preserve"> </w:t>
      </w:r>
      <w:r w:rsidRPr="00AF162B">
        <w:rPr>
          <w:rFonts w:asciiTheme="majorHAnsi" w:hAnsiTheme="majorHAnsi" w:cs="Verdana"/>
          <w:bCs/>
          <w:sz w:val="16"/>
          <w:szCs w:val="16"/>
          <w:bdr w:val="none" w:sz="0" w:space="0" w:color="auto"/>
        </w:rPr>
        <w:t xml:space="preserve">Corte IDH. Caso Chocrón Chocrón Vs. Venezuela. Excepción Preliminar, Fondo, Reparaciones y Costas. Sentencia de 1 de julio de 2011. Serie C No. 227, párr. 118. </w:t>
      </w:r>
    </w:p>
  </w:footnote>
  <w:footnote w:id="38">
    <w:p w14:paraId="09C0A804" w14:textId="77777777" w:rsidR="00976B0F" w:rsidRPr="00AF162B" w:rsidRDefault="00976B0F" w:rsidP="004E2596">
      <w:pPr>
        <w:pStyle w:val="FootnoteText"/>
        <w:spacing w:after="120"/>
        <w:jc w:val="both"/>
        <w:rPr>
          <w:rFonts w:asciiTheme="majorHAnsi" w:hAnsiTheme="majorHAnsi"/>
          <w:sz w:val="16"/>
          <w:szCs w:val="16"/>
          <w:lang w:val="es-CO"/>
        </w:rPr>
      </w:pPr>
      <w:r w:rsidRPr="00AF162B">
        <w:rPr>
          <w:rStyle w:val="FootnoteReference"/>
          <w:rFonts w:asciiTheme="majorHAnsi" w:hAnsiTheme="majorHAnsi"/>
          <w:sz w:val="16"/>
          <w:szCs w:val="16"/>
        </w:rPr>
        <w:footnoteRef/>
      </w:r>
      <w:r w:rsidRPr="00AF162B">
        <w:rPr>
          <w:rFonts w:asciiTheme="majorHAnsi" w:hAnsiTheme="majorHAnsi"/>
          <w:sz w:val="16"/>
          <w:szCs w:val="16"/>
          <w:lang w:val="es-ES"/>
        </w:rPr>
        <w:t xml:space="preserve"> </w:t>
      </w:r>
      <w:r w:rsidRPr="00AF162B">
        <w:rPr>
          <w:rFonts w:asciiTheme="majorHAnsi" w:hAnsiTheme="majorHAnsi" w:cs="Verdana"/>
          <w:bCs/>
          <w:sz w:val="16"/>
          <w:szCs w:val="16"/>
          <w:bdr w:val="none" w:sz="0" w:space="0" w:color="auto"/>
          <w:lang w:val="es-ES"/>
        </w:rPr>
        <w:t xml:space="preserve">Corte IDH. </w:t>
      </w:r>
      <w:r w:rsidRPr="00AF162B">
        <w:rPr>
          <w:rFonts w:asciiTheme="majorHAnsi" w:hAnsiTheme="majorHAnsi"/>
          <w:sz w:val="16"/>
          <w:szCs w:val="16"/>
          <w:lang w:val="es-ES"/>
        </w:rPr>
        <w:t xml:space="preserve">Caso Chaparro Álvarez y Lapo Íñiguez. Vs. Ecuador. Excepción Preliminar, Fondo, Reparaciones y Costas. </w:t>
      </w:r>
      <w:r w:rsidRPr="00AF162B">
        <w:rPr>
          <w:rFonts w:asciiTheme="majorHAnsi" w:hAnsiTheme="majorHAnsi"/>
          <w:sz w:val="16"/>
          <w:szCs w:val="16"/>
          <w:lang w:val="es-CO"/>
        </w:rPr>
        <w:t>Sentencia de 21 de noviembre de 2007. Serie C No. 170, párr. 107</w:t>
      </w:r>
      <w:r w:rsidRPr="00AF162B">
        <w:rPr>
          <w:rFonts w:asciiTheme="majorHAnsi" w:hAnsiTheme="majorHAnsi" w:cs="Arial"/>
          <w:sz w:val="16"/>
          <w:szCs w:val="16"/>
          <w:lang w:val="es-CO"/>
        </w:rPr>
        <w:t>.</w:t>
      </w:r>
    </w:p>
  </w:footnote>
  <w:footnote w:id="39">
    <w:p w14:paraId="3EFA6291" w14:textId="77777777" w:rsidR="00976B0F" w:rsidRPr="00327CE3" w:rsidRDefault="00976B0F" w:rsidP="00190562">
      <w:pPr>
        <w:pStyle w:val="FootnoteText"/>
        <w:rPr>
          <w:lang w:val="es-VE"/>
        </w:rPr>
      </w:pPr>
      <w:r w:rsidRPr="00915FD5">
        <w:rPr>
          <w:rStyle w:val="FootnoteReference"/>
          <w:rFonts w:ascii="Cambria" w:hAnsi="Cambria"/>
          <w:sz w:val="16"/>
          <w:szCs w:val="16"/>
        </w:rPr>
        <w:footnoteRef/>
      </w:r>
      <w:r w:rsidRPr="008D5C76">
        <w:rPr>
          <w:rStyle w:val="FootnoteReference"/>
          <w:rFonts w:ascii="Cambria" w:hAnsi="Cambria"/>
          <w:sz w:val="16"/>
          <w:szCs w:val="16"/>
          <w:lang w:val="es-VE"/>
        </w:rPr>
        <w:t xml:space="preserve"> </w:t>
      </w:r>
      <w:r w:rsidRPr="00327CE3">
        <w:rPr>
          <w:rFonts w:ascii="Cambria" w:hAnsi="Cambria"/>
          <w:sz w:val="16"/>
          <w:szCs w:val="16"/>
          <w:lang w:val="es-VE"/>
        </w:rPr>
        <w:t>CIDH, Garantías para la independencia de las y los operadores de justicia. Hacia el fortalecimiento del acceso a la justicia y el estado de derecho en las Américas, OEA/ser.L/V/II.Doc.44, 5 de diciembre de 2013, párr.</w:t>
      </w:r>
      <w:r>
        <w:rPr>
          <w:rFonts w:ascii="Cambria" w:hAnsi="Cambria"/>
          <w:sz w:val="16"/>
          <w:szCs w:val="16"/>
          <w:lang w:val="es-VE"/>
        </w:rPr>
        <w:t xml:space="preserve"> 224.</w:t>
      </w:r>
    </w:p>
  </w:footnote>
  <w:footnote w:id="40">
    <w:p w14:paraId="26A42899" w14:textId="77777777" w:rsidR="00976B0F" w:rsidRPr="00327CE3" w:rsidRDefault="00976B0F" w:rsidP="00190562">
      <w:pPr>
        <w:pStyle w:val="FootnoteText"/>
        <w:rPr>
          <w:lang w:val="es-VE"/>
        </w:rPr>
      </w:pPr>
      <w:r w:rsidRPr="00915FD5">
        <w:rPr>
          <w:rStyle w:val="FootnoteReference"/>
          <w:rFonts w:ascii="Cambria" w:hAnsi="Cambria"/>
          <w:sz w:val="16"/>
          <w:szCs w:val="16"/>
        </w:rPr>
        <w:footnoteRef/>
      </w:r>
      <w:r w:rsidRPr="008D5C76">
        <w:rPr>
          <w:rStyle w:val="FootnoteReference"/>
          <w:rFonts w:ascii="Cambria" w:hAnsi="Cambria"/>
          <w:sz w:val="16"/>
          <w:szCs w:val="16"/>
          <w:lang w:val="es-VE"/>
        </w:rPr>
        <w:t xml:space="preserve"> </w:t>
      </w:r>
      <w:r w:rsidRPr="00327CE3">
        <w:rPr>
          <w:rFonts w:ascii="Cambria" w:hAnsi="Cambria"/>
          <w:sz w:val="16"/>
          <w:szCs w:val="16"/>
          <w:lang w:val="es-VE"/>
        </w:rPr>
        <w:t>CIDH, Garantías para la independencia de las y los operadores de justicia. Hacia el fortalecimiento del acceso a la justicia y el estado de derecho en las Américas, OEA/ser.L/V/II.Doc.44, 5 de diciembre de 2013, párr.</w:t>
      </w:r>
      <w:r>
        <w:rPr>
          <w:rFonts w:ascii="Cambria" w:hAnsi="Cambria"/>
          <w:sz w:val="16"/>
          <w:szCs w:val="16"/>
          <w:lang w:val="es-VE"/>
        </w:rPr>
        <w:t xml:space="preserve"> 225.</w:t>
      </w:r>
    </w:p>
  </w:footnote>
  <w:footnote w:id="41">
    <w:p w14:paraId="02B639D9" w14:textId="77777777" w:rsidR="00976B0F" w:rsidRPr="00327CE3" w:rsidRDefault="00976B0F" w:rsidP="00BE6417">
      <w:pPr>
        <w:pStyle w:val="FootnoteText"/>
        <w:rPr>
          <w:lang w:val="es-VE"/>
        </w:rPr>
      </w:pPr>
      <w:r w:rsidRPr="00915FD5">
        <w:rPr>
          <w:rStyle w:val="FootnoteReference"/>
          <w:rFonts w:ascii="Cambria" w:hAnsi="Cambria"/>
          <w:sz w:val="16"/>
          <w:szCs w:val="16"/>
        </w:rPr>
        <w:footnoteRef/>
      </w:r>
      <w:r w:rsidRPr="008D5C76">
        <w:rPr>
          <w:rStyle w:val="FootnoteReference"/>
          <w:rFonts w:ascii="Cambria" w:hAnsi="Cambria"/>
          <w:sz w:val="16"/>
          <w:szCs w:val="16"/>
          <w:lang w:val="es-VE"/>
        </w:rPr>
        <w:t xml:space="preserve"> </w:t>
      </w:r>
      <w:r w:rsidRPr="00327CE3">
        <w:rPr>
          <w:rFonts w:ascii="Cambria" w:hAnsi="Cambria"/>
          <w:sz w:val="16"/>
          <w:szCs w:val="16"/>
          <w:lang w:val="es-VE"/>
        </w:rPr>
        <w:t>CIDH, Garantías para la independencia de las y los operadores de justicia. Hacia el fortalecimiento del acceso a la justicia y el estado de derecho en las Américas, OEA/ser.L/V/II.Doc.44, 5 de diciembre de 2013, párr.</w:t>
      </w:r>
      <w:r>
        <w:rPr>
          <w:rFonts w:ascii="Cambria" w:hAnsi="Cambria"/>
          <w:sz w:val="16"/>
          <w:szCs w:val="16"/>
          <w:lang w:val="es-VE"/>
        </w:rPr>
        <w:t xml:space="preserve"> 156.</w:t>
      </w:r>
    </w:p>
  </w:footnote>
  <w:footnote w:id="42">
    <w:p w14:paraId="23D5D927" w14:textId="77777777" w:rsidR="00976B0F" w:rsidRPr="00327CE3" w:rsidRDefault="00976B0F" w:rsidP="00427BE7">
      <w:pPr>
        <w:pStyle w:val="FootnoteText"/>
        <w:rPr>
          <w:lang w:val="es-VE"/>
        </w:rPr>
      </w:pPr>
      <w:r w:rsidRPr="00915FD5">
        <w:rPr>
          <w:rStyle w:val="FootnoteReference"/>
          <w:rFonts w:ascii="Cambria" w:hAnsi="Cambria"/>
          <w:sz w:val="16"/>
          <w:szCs w:val="16"/>
        </w:rPr>
        <w:footnoteRef/>
      </w:r>
      <w:r w:rsidRPr="008D5C76">
        <w:rPr>
          <w:rStyle w:val="FootnoteReference"/>
          <w:rFonts w:ascii="Cambria" w:hAnsi="Cambria"/>
          <w:sz w:val="16"/>
          <w:szCs w:val="16"/>
          <w:lang w:val="es-VE"/>
        </w:rPr>
        <w:t xml:space="preserve"> </w:t>
      </w:r>
      <w:r w:rsidRPr="00327CE3">
        <w:rPr>
          <w:rFonts w:ascii="Cambria" w:hAnsi="Cambria"/>
          <w:sz w:val="16"/>
          <w:szCs w:val="16"/>
          <w:lang w:val="es-VE"/>
        </w:rPr>
        <w:t>CIDH, Garantías para la independencia de las y los operadores de justicia. Hacia el fortalecimiento del acceso a la justicia y el estado de derecho en las Américas, OEA/ser.L/V/II.Doc.44, 5 de diciembre de 2013, párr.</w:t>
      </w:r>
      <w:r>
        <w:rPr>
          <w:rFonts w:ascii="Cambria" w:hAnsi="Cambria"/>
          <w:sz w:val="16"/>
          <w:szCs w:val="16"/>
          <w:lang w:val="es-VE"/>
        </w:rPr>
        <w:t xml:space="preserve"> 156.</w:t>
      </w:r>
    </w:p>
  </w:footnote>
  <w:footnote w:id="43">
    <w:p w14:paraId="5DF88429" w14:textId="77777777" w:rsidR="00976B0F" w:rsidRPr="00AF162B" w:rsidRDefault="00976B0F" w:rsidP="002A15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sz w:val="16"/>
          <w:szCs w:val="16"/>
          <w:lang w:val="es-VE"/>
        </w:rPr>
      </w:pPr>
      <w:r w:rsidRPr="00AF162B">
        <w:rPr>
          <w:rStyle w:val="FootnoteReference"/>
          <w:rFonts w:asciiTheme="majorHAnsi" w:hAnsiTheme="majorHAnsi"/>
          <w:sz w:val="16"/>
          <w:szCs w:val="16"/>
        </w:rPr>
        <w:footnoteRef/>
      </w:r>
      <w:r w:rsidRPr="00AF162B">
        <w:rPr>
          <w:rFonts w:asciiTheme="majorHAnsi" w:hAnsiTheme="majorHAnsi"/>
          <w:sz w:val="16"/>
          <w:szCs w:val="16"/>
          <w:lang w:val="es-VE"/>
        </w:rPr>
        <w:t xml:space="preserve"> </w:t>
      </w:r>
      <w:r w:rsidRPr="00AF162B">
        <w:rPr>
          <w:rFonts w:asciiTheme="majorHAnsi" w:hAnsiTheme="majorHAnsi"/>
          <w:sz w:val="16"/>
          <w:szCs w:val="16"/>
          <w:lang w:val="es-AR"/>
        </w:rPr>
        <w:t>El artículo 25.1 de la Convención estipula que:</w:t>
      </w:r>
      <w:r w:rsidRPr="00AF162B">
        <w:rPr>
          <w:rFonts w:asciiTheme="majorHAnsi" w:hAnsiTheme="majorHAnsi"/>
          <w:sz w:val="16"/>
          <w:szCs w:val="16"/>
          <w:lang w:val="es-VE"/>
        </w:rPr>
        <w:t xml:space="preserve"> </w:t>
      </w:r>
      <w:r w:rsidRPr="00AF162B">
        <w:rPr>
          <w:rFonts w:asciiTheme="majorHAnsi" w:eastAsia="Times New Roman" w:hAnsiTheme="majorHAnsi"/>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44">
    <w:p w14:paraId="21F30551" w14:textId="77777777" w:rsidR="00976B0F" w:rsidRPr="00AF162B" w:rsidRDefault="00976B0F" w:rsidP="002A15BE">
      <w:pPr>
        <w:tabs>
          <w:tab w:val="left" w:pos="180"/>
          <w:tab w:val="left" w:pos="900"/>
          <w:tab w:val="left" w:pos="1080"/>
        </w:tabs>
        <w:jc w:val="both"/>
        <w:rPr>
          <w:rFonts w:asciiTheme="majorHAnsi" w:hAnsiTheme="majorHAnsi"/>
          <w:sz w:val="16"/>
          <w:szCs w:val="16"/>
          <w:lang w:val="es-CO"/>
        </w:rPr>
      </w:pPr>
      <w:r w:rsidRPr="00AF162B">
        <w:rPr>
          <w:rStyle w:val="FootnoteReference"/>
          <w:rFonts w:asciiTheme="majorHAnsi" w:hAnsiTheme="majorHAnsi"/>
          <w:sz w:val="16"/>
          <w:szCs w:val="16"/>
        </w:rPr>
        <w:footnoteRef/>
      </w:r>
      <w:r w:rsidRPr="00AF162B">
        <w:rPr>
          <w:rFonts w:asciiTheme="majorHAnsi" w:hAnsiTheme="majorHAnsi"/>
          <w:color w:val="000000"/>
          <w:sz w:val="16"/>
          <w:szCs w:val="16"/>
          <w:lang w:val="es-CO"/>
        </w:rPr>
        <w:t xml:space="preserve">Corte IDH, </w:t>
      </w:r>
      <w:r w:rsidRPr="00AF162B">
        <w:rPr>
          <w:rFonts w:asciiTheme="majorHAnsi" w:hAnsiTheme="majorHAnsi"/>
          <w:bCs/>
          <w:color w:val="000000"/>
          <w:sz w:val="16"/>
          <w:szCs w:val="16"/>
          <w:lang w:val="es-CO"/>
        </w:rPr>
        <w:t xml:space="preserve">Caso Trabajadores Cesados del Congreso (Aguado Alfaro y otros). </w:t>
      </w:r>
      <w:r w:rsidRPr="00AF162B">
        <w:rPr>
          <w:rFonts w:asciiTheme="majorHAnsi" w:hAnsiTheme="majorHAnsi"/>
          <w:color w:val="000000"/>
          <w:sz w:val="16"/>
          <w:szCs w:val="16"/>
          <w:lang w:val="es-CO"/>
        </w:rPr>
        <w:t xml:space="preserve">Sentencia sobre Excepciones Preliminares, Fondo, Reparaciones y Costas. Sentencia de 24 de Noviembre de 2006. Serie C No. 158. Párr. 125; Corte IDH, </w:t>
      </w:r>
      <w:r w:rsidRPr="00AF162B">
        <w:rPr>
          <w:rFonts w:asciiTheme="majorHAnsi" w:hAnsiTheme="majorHAnsi"/>
          <w:bCs/>
          <w:color w:val="000000"/>
          <w:sz w:val="16"/>
          <w:szCs w:val="16"/>
          <w:lang w:val="es-CO"/>
        </w:rPr>
        <w:t xml:space="preserve">Caso Comunidad Indígena Yakye Axa. </w:t>
      </w:r>
      <w:r w:rsidRPr="00AF162B">
        <w:rPr>
          <w:rFonts w:asciiTheme="majorHAnsi" w:hAnsiTheme="majorHAnsi"/>
          <w:color w:val="000000"/>
          <w:sz w:val="16"/>
          <w:szCs w:val="16"/>
          <w:lang w:val="es-CO"/>
        </w:rPr>
        <w:t>Sentencia 17 de junio de 2005. Serie C No. 125</w:t>
      </w:r>
      <w:r w:rsidRPr="00AF162B">
        <w:rPr>
          <w:rFonts w:asciiTheme="majorHAnsi" w:hAnsiTheme="majorHAnsi"/>
          <w:sz w:val="16"/>
          <w:szCs w:val="16"/>
          <w:lang w:val="es-CO"/>
        </w:rPr>
        <w:t xml:space="preserve">. Párr.  61; </w:t>
      </w:r>
      <w:r w:rsidRPr="00AF162B">
        <w:rPr>
          <w:rFonts w:asciiTheme="majorHAnsi" w:hAnsiTheme="majorHAnsi"/>
          <w:color w:val="000000"/>
          <w:sz w:val="16"/>
          <w:szCs w:val="16"/>
          <w:lang w:val="es-CO"/>
        </w:rPr>
        <w:t xml:space="preserve">Corte IDH, </w:t>
      </w:r>
      <w:r w:rsidRPr="00AF162B">
        <w:rPr>
          <w:rFonts w:asciiTheme="majorHAnsi" w:hAnsiTheme="majorHAnsi"/>
          <w:bCs/>
          <w:color w:val="000000"/>
          <w:sz w:val="16"/>
          <w:szCs w:val="16"/>
          <w:lang w:val="es-CO"/>
        </w:rPr>
        <w:t xml:space="preserve">Caso "Cinco Pensionistas". </w:t>
      </w:r>
      <w:r w:rsidRPr="00AF162B">
        <w:rPr>
          <w:rFonts w:asciiTheme="majorHAnsi" w:hAnsiTheme="majorHAnsi"/>
          <w:color w:val="000000"/>
          <w:sz w:val="16"/>
          <w:szCs w:val="16"/>
          <w:lang w:val="es-CO"/>
        </w:rPr>
        <w:t>Sentencia de 28 de febrero de 2003. Serie C No. 98</w:t>
      </w:r>
      <w:r w:rsidRPr="00AF162B">
        <w:rPr>
          <w:rFonts w:asciiTheme="majorHAnsi" w:hAnsiTheme="majorHAnsi"/>
          <w:sz w:val="16"/>
          <w:szCs w:val="16"/>
          <w:lang w:val="es-CO"/>
        </w:rPr>
        <w:t>. Párr. 136.</w:t>
      </w:r>
    </w:p>
  </w:footnote>
  <w:footnote w:id="45">
    <w:p w14:paraId="031FC7E6" w14:textId="77777777" w:rsidR="00976B0F" w:rsidRPr="00641481" w:rsidRDefault="00976B0F" w:rsidP="00641481">
      <w:pPr>
        <w:pStyle w:val="FootnoteText"/>
        <w:rPr>
          <w:rFonts w:ascii="Cambria" w:hAnsi="Cambria"/>
          <w:sz w:val="16"/>
          <w:szCs w:val="16"/>
          <w:lang w:val="es-VE"/>
        </w:rPr>
      </w:pPr>
      <w:r w:rsidRPr="00641481">
        <w:rPr>
          <w:rStyle w:val="FootnoteReference"/>
          <w:rFonts w:ascii="Cambria" w:hAnsi="Cambria"/>
          <w:sz w:val="16"/>
          <w:szCs w:val="16"/>
        </w:rPr>
        <w:footnoteRef/>
      </w:r>
      <w:r w:rsidRPr="00641481">
        <w:rPr>
          <w:rFonts w:ascii="Cambria" w:hAnsi="Cambria"/>
          <w:sz w:val="16"/>
          <w:szCs w:val="16"/>
          <w:lang w:val="es-VE"/>
        </w:rPr>
        <w:t xml:space="preserve"> Corte IDH, Caso Ramírez Escobar y otros vs. Guatemala. Fondo, Reparaciones y Costas. Sentencia de 9 de marzo de 2018. Serie C No. 351, párrs</w:t>
      </w:r>
      <w:r>
        <w:rPr>
          <w:rFonts w:ascii="Cambria" w:hAnsi="Cambria"/>
          <w:sz w:val="16"/>
          <w:szCs w:val="16"/>
          <w:lang w:val="es-VE"/>
        </w:rPr>
        <w:t>.</w:t>
      </w:r>
      <w:r w:rsidRPr="00641481">
        <w:rPr>
          <w:rFonts w:ascii="Cambria" w:hAnsi="Cambria"/>
          <w:sz w:val="16"/>
          <w:szCs w:val="16"/>
          <w:lang w:val="es-VE"/>
        </w:rPr>
        <w:t xml:space="preserve"> 251-252.</w:t>
      </w:r>
    </w:p>
  </w:footnote>
  <w:footnote w:id="46">
    <w:p w14:paraId="7544835D" w14:textId="77777777" w:rsidR="00976B0F" w:rsidRPr="001E3078" w:rsidRDefault="00976B0F" w:rsidP="00FC78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16"/>
          <w:szCs w:val="16"/>
          <w:lang w:val="es-AR"/>
        </w:rPr>
      </w:pPr>
      <w:r w:rsidRPr="001E3078">
        <w:rPr>
          <w:rStyle w:val="FootnoteReference"/>
          <w:rFonts w:ascii="Cambria" w:hAnsi="Cambria"/>
          <w:sz w:val="16"/>
          <w:szCs w:val="16"/>
        </w:rPr>
        <w:footnoteRef/>
      </w:r>
      <w:r w:rsidRPr="001E3078">
        <w:rPr>
          <w:rFonts w:ascii="Cambria" w:hAnsi="Cambria"/>
          <w:sz w:val="16"/>
          <w:szCs w:val="16"/>
          <w:lang w:val="es-VE"/>
        </w:rPr>
        <w:t xml:space="preserve"> </w:t>
      </w:r>
      <w:r w:rsidRPr="001E3078">
        <w:rPr>
          <w:rFonts w:ascii="Cambria" w:hAnsi="Cambria"/>
          <w:sz w:val="16"/>
          <w:szCs w:val="16"/>
          <w:lang w:val="es-AR"/>
        </w:rPr>
        <w:t xml:space="preserve">El artículo 23 de la Convención Americana establece, en lo relevante, que: 1. </w:t>
      </w:r>
      <w:r w:rsidRPr="001E3078">
        <w:rPr>
          <w:rFonts w:ascii="Cambria" w:eastAsia="Times New Roman" w:hAnsi="Cambria"/>
          <w:sz w:val="16"/>
          <w:szCs w:val="16"/>
          <w:lang w:val="es-ES" w:eastAsia="es-ES"/>
        </w:rPr>
        <w:t xml:space="preserve">Todos los ciudadanos deben gozar de los siguientes derechos y oportunidades: (…) </w:t>
      </w:r>
      <w:r w:rsidRPr="001E3078">
        <w:rPr>
          <w:rFonts w:ascii="Cambria" w:hAnsi="Cambria"/>
          <w:sz w:val="16"/>
          <w:szCs w:val="16"/>
          <w:lang w:val="es-AR"/>
        </w:rPr>
        <w:t xml:space="preserve">c. </w:t>
      </w:r>
      <w:r w:rsidRPr="001E3078">
        <w:rPr>
          <w:rFonts w:ascii="Cambria" w:eastAsia="Times New Roman" w:hAnsi="Cambria"/>
          <w:sz w:val="16"/>
          <w:szCs w:val="16"/>
          <w:lang w:val="es-ES"/>
        </w:rPr>
        <w:t xml:space="preserve">De tener acceso, en condiciones generales de igualdad, a las funciones públicas de su país. </w:t>
      </w:r>
      <w:r w:rsidRPr="001E3078">
        <w:rPr>
          <w:rFonts w:ascii="Cambria" w:hAnsi="Cambria"/>
          <w:sz w:val="16"/>
          <w:szCs w:val="16"/>
          <w:lang w:val="es-AR"/>
        </w:rPr>
        <w:t xml:space="preserve">2. </w:t>
      </w:r>
      <w:r w:rsidRPr="001E3078">
        <w:rPr>
          <w:rFonts w:ascii="Cambria" w:eastAsia="Times New Roman" w:hAnsi="Cambria"/>
          <w:sz w:val="16"/>
          <w:szCs w:val="16"/>
          <w:lang w:val="es-ES"/>
        </w:rPr>
        <w:t xml:space="preserve">La ley puede reglamentar el ejercicio de los derechos y oportunidades a que se refiere el inciso anterior, exclusivamente por razones de edad, nacionalidad, residencia, idioma, instrucción, capacidad civil o mental, o condena, por juez competente, en proceso penal. </w:t>
      </w:r>
    </w:p>
  </w:footnote>
  <w:footnote w:id="47">
    <w:p w14:paraId="60708B8F" w14:textId="77777777" w:rsidR="00976B0F" w:rsidRPr="001E3078" w:rsidRDefault="00976B0F" w:rsidP="005558DF">
      <w:pPr>
        <w:jc w:val="both"/>
        <w:rPr>
          <w:rFonts w:ascii="Cambria" w:eastAsia="Times New Roman" w:hAnsi="Cambria"/>
          <w:sz w:val="16"/>
          <w:szCs w:val="16"/>
          <w:lang w:val="es-MX"/>
        </w:rPr>
      </w:pPr>
      <w:r w:rsidRPr="001E3078">
        <w:rPr>
          <w:rStyle w:val="FootnoteReference"/>
          <w:rFonts w:ascii="Cambria" w:hAnsi="Cambria"/>
          <w:sz w:val="16"/>
          <w:szCs w:val="16"/>
        </w:rPr>
        <w:footnoteRef/>
      </w:r>
      <w:r w:rsidRPr="001E3078">
        <w:rPr>
          <w:rFonts w:ascii="Cambria" w:hAnsi="Cambria"/>
          <w:sz w:val="16"/>
          <w:szCs w:val="16"/>
          <w:lang w:val="es-MX"/>
        </w:rPr>
        <w:t xml:space="preserve"> </w:t>
      </w:r>
      <w:r w:rsidRPr="001E3078">
        <w:rPr>
          <w:rFonts w:ascii="Cambria" w:eastAsia="Times New Roman" w:hAnsi="Cambria"/>
          <w:bCs/>
          <w:sz w:val="16"/>
          <w:szCs w:val="16"/>
          <w:shd w:val="clear" w:color="auto" w:fill="FFFFFF"/>
          <w:lang w:val="es-MX"/>
        </w:rPr>
        <w:t>Corte IDH. Caso López Lone y otros Vs. Honduras. Excepción Preliminar, Fondo, Reparaciones y Costas. Sentencia de 5 de octubre de 2015. Serie C No. 302, párr. 192.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07DE" w14:textId="77777777" w:rsidR="00976B0F" w:rsidRDefault="00976B0F" w:rsidP="00796C6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13FA1C6" w14:textId="77777777" w:rsidR="00976B0F" w:rsidRDefault="00976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04E47" w14:textId="77777777" w:rsidR="00976B0F" w:rsidRDefault="00976B0F" w:rsidP="00A50FCF">
    <w:pPr>
      <w:pStyle w:val="Header"/>
      <w:tabs>
        <w:tab w:val="clear" w:pos="4320"/>
        <w:tab w:val="clear" w:pos="8640"/>
      </w:tabs>
      <w:jc w:val="center"/>
      <w:rPr>
        <w:sz w:val="22"/>
        <w:szCs w:val="22"/>
      </w:rPr>
    </w:pPr>
    <w:r>
      <w:rPr>
        <w:noProof/>
        <w:sz w:val="22"/>
        <w:szCs w:val="22"/>
      </w:rPr>
      <w:drawing>
        <wp:inline distT="0" distB="0" distL="0" distR="0" wp14:anchorId="3002D322" wp14:editId="776A7E5D">
          <wp:extent cx="1972237" cy="104775"/>
          <wp:effectExtent l="0" t="0" r="9525" b="0"/>
          <wp:docPr id="13" name="Picture 1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327EE27" w14:textId="77777777" w:rsidR="00976B0F" w:rsidRPr="00EC7D62" w:rsidRDefault="00A556F4" w:rsidP="00A50FCF">
    <w:pPr>
      <w:pStyle w:val="Header"/>
      <w:tabs>
        <w:tab w:val="clear" w:pos="4320"/>
        <w:tab w:val="clear" w:pos="8640"/>
      </w:tabs>
      <w:jc w:val="center"/>
      <w:rPr>
        <w:sz w:val="22"/>
        <w:szCs w:val="22"/>
      </w:rPr>
    </w:pPr>
    <w:r>
      <w:rPr>
        <w:sz w:val="22"/>
        <w:szCs w:val="22"/>
      </w:rPr>
      <w:pict w14:anchorId="4B7EACC5">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68ECB" w14:textId="77777777" w:rsidR="007A385F" w:rsidRDefault="007A385F" w:rsidP="007A385F">
    <w:pPr>
      <w:pStyle w:val="Header"/>
      <w:tabs>
        <w:tab w:val="clear" w:pos="4320"/>
        <w:tab w:val="clear" w:pos="8640"/>
      </w:tabs>
      <w:jc w:val="center"/>
      <w:rPr>
        <w:sz w:val="22"/>
        <w:szCs w:val="22"/>
      </w:rPr>
    </w:pPr>
    <w:r>
      <w:rPr>
        <w:noProof/>
        <w:sz w:val="22"/>
        <w:szCs w:val="22"/>
      </w:rPr>
      <w:drawing>
        <wp:inline distT="0" distB="0" distL="0" distR="0" wp14:anchorId="73D045D7" wp14:editId="181433BB">
          <wp:extent cx="1972237" cy="104775"/>
          <wp:effectExtent l="0" t="0" r="9525" b="0"/>
          <wp:docPr id="12" name="Picture 1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0D0C2DC" w14:textId="77777777" w:rsidR="007A385F" w:rsidRPr="00EC7D62" w:rsidRDefault="00A556F4" w:rsidP="007A385F">
    <w:pPr>
      <w:pStyle w:val="Header"/>
      <w:tabs>
        <w:tab w:val="clear" w:pos="4320"/>
        <w:tab w:val="clear" w:pos="8640"/>
      </w:tabs>
      <w:jc w:val="center"/>
      <w:rPr>
        <w:sz w:val="22"/>
        <w:szCs w:val="22"/>
      </w:rPr>
    </w:pPr>
    <w:r>
      <w:rPr>
        <w:sz w:val="22"/>
        <w:szCs w:val="22"/>
      </w:rPr>
      <w:pict w14:anchorId="401FD336">
        <v:rect id="_x0000_i1026" style="width:0;height:1.5pt"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BED2" w14:textId="77777777" w:rsidR="00976B0F" w:rsidRDefault="00976B0F" w:rsidP="00796C6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B0C2DCB" w14:textId="77777777" w:rsidR="00976B0F" w:rsidRDefault="00976B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D67A3" w14:textId="77777777" w:rsidR="00976B0F" w:rsidRDefault="00976B0F" w:rsidP="00A50FCF">
    <w:pPr>
      <w:pStyle w:val="Header"/>
      <w:tabs>
        <w:tab w:val="clear" w:pos="4320"/>
        <w:tab w:val="clear" w:pos="8640"/>
      </w:tabs>
      <w:jc w:val="center"/>
      <w:rPr>
        <w:sz w:val="22"/>
        <w:szCs w:val="22"/>
      </w:rPr>
    </w:pPr>
    <w:r>
      <w:rPr>
        <w:noProof/>
        <w:sz w:val="22"/>
        <w:szCs w:val="22"/>
      </w:rPr>
      <w:drawing>
        <wp:inline distT="0" distB="0" distL="0" distR="0" wp14:anchorId="55B6EC7D" wp14:editId="659B58F7">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A0D998D" w14:textId="77777777" w:rsidR="00976B0F" w:rsidRPr="00EC7D62" w:rsidRDefault="00A556F4" w:rsidP="00A50FCF">
    <w:pPr>
      <w:pStyle w:val="Header"/>
      <w:tabs>
        <w:tab w:val="clear" w:pos="4320"/>
        <w:tab w:val="clear" w:pos="8640"/>
      </w:tabs>
      <w:jc w:val="center"/>
      <w:rPr>
        <w:sz w:val="22"/>
        <w:szCs w:val="22"/>
      </w:rPr>
    </w:pPr>
    <w:r>
      <w:rPr>
        <w:sz w:val="22"/>
        <w:szCs w:val="22"/>
      </w:rPr>
      <w:pict w14:anchorId="13B0E89B">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BB1"/>
    <w:multiLevelType w:val="multilevel"/>
    <w:tmpl w:val="3C5C251C"/>
    <w:lvl w:ilvl="0">
      <w:start w:val="1"/>
      <w:numFmt w:val="decimal"/>
      <w:lvlText w:val="%1."/>
      <w:lvlJc w:val="left"/>
      <w:pPr>
        <w:ind w:left="1080" w:hanging="360"/>
      </w:pPr>
      <w:rPr>
        <w:rFonts w:hint="default"/>
        <w:lang w:val="es-UY"/>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24295F"/>
    <w:multiLevelType w:val="hybridMultilevel"/>
    <w:tmpl w:val="009CA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14479D"/>
    <w:multiLevelType w:val="hybridMultilevel"/>
    <w:tmpl w:val="24649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413098"/>
    <w:multiLevelType w:val="hybridMultilevel"/>
    <w:tmpl w:val="C8F4D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3436C46"/>
    <w:multiLevelType w:val="multilevel"/>
    <w:tmpl w:val="F65E2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6F18B1"/>
    <w:multiLevelType w:val="hybridMultilevel"/>
    <w:tmpl w:val="4F6EB80A"/>
    <w:lvl w:ilvl="0" w:tplc="5FA84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7D4B9D"/>
    <w:multiLevelType w:val="hybridMultilevel"/>
    <w:tmpl w:val="D2AA775E"/>
    <w:lvl w:ilvl="0" w:tplc="9E0CAF0C">
      <w:start w:val="1"/>
      <w:numFmt w:val="decimal"/>
      <w:lvlText w:val="%1."/>
      <w:lvlJc w:val="left"/>
      <w:pPr>
        <w:ind w:left="1440" w:hanging="360"/>
      </w:pPr>
      <w:rPr>
        <w:rFonts w:ascii="Cambria" w:hAnsi="Cambria"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EE074E"/>
    <w:multiLevelType w:val="hybridMultilevel"/>
    <w:tmpl w:val="0358B7B0"/>
    <w:lvl w:ilvl="0" w:tplc="6DFCF2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D17C371E"/>
    <w:lvl w:ilvl="0" w:tplc="D3502C10">
      <w:start w:val="1"/>
      <w:numFmt w:val="upperRoman"/>
      <w:pStyle w:val="Heading1"/>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6"/>
  </w:num>
  <w:num w:numId="4">
    <w:abstractNumId w:val="23"/>
  </w:num>
  <w:num w:numId="5">
    <w:abstractNumId w:val="50"/>
  </w:num>
  <w:num w:numId="6">
    <w:abstractNumId w:val="28"/>
  </w:num>
  <w:num w:numId="7">
    <w:abstractNumId w:val="8"/>
  </w:num>
  <w:num w:numId="8">
    <w:abstractNumId w:val="19"/>
  </w:num>
  <w:num w:numId="9">
    <w:abstractNumId w:val="43"/>
  </w:num>
  <w:num w:numId="10">
    <w:abstractNumId w:val="1"/>
  </w:num>
  <w:num w:numId="11">
    <w:abstractNumId w:val="37"/>
  </w:num>
  <w:num w:numId="12">
    <w:abstractNumId w:val="38"/>
  </w:num>
  <w:num w:numId="13">
    <w:abstractNumId w:val="45"/>
  </w:num>
  <w:num w:numId="14">
    <w:abstractNumId w:val="2"/>
  </w:num>
  <w:num w:numId="15">
    <w:abstractNumId w:val="4"/>
  </w:num>
  <w:num w:numId="16">
    <w:abstractNumId w:val="9"/>
  </w:num>
  <w:num w:numId="17">
    <w:abstractNumId w:val="10"/>
  </w:num>
  <w:num w:numId="18">
    <w:abstractNumId w:val="11"/>
  </w:num>
  <w:num w:numId="19">
    <w:abstractNumId w:val="12"/>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9"/>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2"/>
  </w:num>
  <w:num w:numId="52">
    <w:abstractNumId w:val="41"/>
  </w:num>
  <w:num w:numId="53">
    <w:abstractNumId w:val="53"/>
  </w:num>
  <w:num w:numId="54">
    <w:abstractNumId w:val="46"/>
  </w:num>
  <w:num w:numId="55">
    <w:abstractNumId w:val="47"/>
  </w:num>
  <w:num w:numId="56">
    <w:abstractNumId w:val="42"/>
  </w:num>
  <w:num w:numId="57">
    <w:abstractNumId w:val="13"/>
  </w:num>
  <w:num w:numId="58">
    <w:abstractNumId w:val="6"/>
  </w:num>
  <w:num w:numId="59">
    <w:abstractNumId w:val="48"/>
  </w:num>
  <w:num w:numId="60">
    <w:abstractNumId w:val="3"/>
  </w:num>
  <w:num w:numId="61">
    <w:abstractNumId w:val="44"/>
  </w:num>
  <w:num w:numId="62">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removePersonalInformation/>
  <w:removeDateAndTime/>
  <w:defaultTabStop w:val="720"/>
  <w:hyphenationZone w:val="425"/>
  <w:characterSpacingControl w:val="doNotCompress"/>
  <w:hdrShapeDefaults>
    <o:shapedefaults v:ext="edit" spidmax="22532"/>
  </w:hdrShapeDefaults>
  <w:footnotePr>
    <w:footnote w:id="-1"/>
    <w:footnote w:id="0"/>
    <w:footnote w:id="1"/>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B2D5C"/>
    <w:rsid w:val="0000024E"/>
    <w:rsid w:val="0000036F"/>
    <w:rsid w:val="00000B60"/>
    <w:rsid w:val="00000CDA"/>
    <w:rsid w:val="00002FB4"/>
    <w:rsid w:val="00003FBD"/>
    <w:rsid w:val="00005DC4"/>
    <w:rsid w:val="000067AA"/>
    <w:rsid w:val="00006896"/>
    <w:rsid w:val="00006B7C"/>
    <w:rsid w:val="00006E1F"/>
    <w:rsid w:val="000070D7"/>
    <w:rsid w:val="0001297B"/>
    <w:rsid w:val="00014592"/>
    <w:rsid w:val="00015574"/>
    <w:rsid w:val="000158FD"/>
    <w:rsid w:val="0001632C"/>
    <w:rsid w:val="0001788C"/>
    <w:rsid w:val="000203AB"/>
    <w:rsid w:val="00020F8C"/>
    <w:rsid w:val="0002687E"/>
    <w:rsid w:val="00026A45"/>
    <w:rsid w:val="00031464"/>
    <w:rsid w:val="00032370"/>
    <w:rsid w:val="00034441"/>
    <w:rsid w:val="000378E6"/>
    <w:rsid w:val="00040359"/>
    <w:rsid w:val="00040664"/>
    <w:rsid w:val="00040C3A"/>
    <w:rsid w:val="000413E7"/>
    <w:rsid w:val="000442E1"/>
    <w:rsid w:val="0004443D"/>
    <w:rsid w:val="00046051"/>
    <w:rsid w:val="00051E59"/>
    <w:rsid w:val="00053C59"/>
    <w:rsid w:val="00055293"/>
    <w:rsid w:val="000556A9"/>
    <w:rsid w:val="00055A70"/>
    <w:rsid w:val="00056E69"/>
    <w:rsid w:val="00061B75"/>
    <w:rsid w:val="00061C29"/>
    <w:rsid w:val="00063F4A"/>
    <w:rsid w:val="00065F2C"/>
    <w:rsid w:val="00067A5D"/>
    <w:rsid w:val="000702FA"/>
    <w:rsid w:val="000716C5"/>
    <w:rsid w:val="00072531"/>
    <w:rsid w:val="00074AC9"/>
    <w:rsid w:val="00075E23"/>
    <w:rsid w:val="000774C0"/>
    <w:rsid w:val="000809A1"/>
    <w:rsid w:val="000809B0"/>
    <w:rsid w:val="00084E18"/>
    <w:rsid w:val="0008768F"/>
    <w:rsid w:val="00090B46"/>
    <w:rsid w:val="000921B7"/>
    <w:rsid w:val="00093333"/>
    <w:rsid w:val="0009344A"/>
    <w:rsid w:val="0009462B"/>
    <w:rsid w:val="00095BFB"/>
    <w:rsid w:val="000A03B6"/>
    <w:rsid w:val="000A0D5F"/>
    <w:rsid w:val="000A392E"/>
    <w:rsid w:val="000A575F"/>
    <w:rsid w:val="000A576A"/>
    <w:rsid w:val="000A774C"/>
    <w:rsid w:val="000B0945"/>
    <w:rsid w:val="000B10E1"/>
    <w:rsid w:val="000B1705"/>
    <w:rsid w:val="000B2631"/>
    <w:rsid w:val="000B6F66"/>
    <w:rsid w:val="000C291F"/>
    <w:rsid w:val="000C3687"/>
    <w:rsid w:val="000C49B1"/>
    <w:rsid w:val="000C5D50"/>
    <w:rsid w:val="000C6C9F"/>
    <w:rsid w:val="000C6DB3"/>
    <w:rsid w:val="000C734D"/>
    <w:rsid w:val="000D10DB"/>
    <w:rsid w:val="000D16E0"/>
    <w:rsid w:val="000D184A"/>
    <w:rsid w:val="000D4B1C"/>
    <w:rsid w:val="000D6624"/>
    <w:rsid w:val="000E035F"/>
    <w:rsid w:val="000E1F6C"/>
    <w:rsid w:val="000E2FE4"/>
    <w:rsid w:val="000E38C2"/>
    <w:rsid w:val="000E3AF4"/>
    <w:rsid w:val="000E40DD"/>
    <w:rsid w:val="000E5D05"/>
    <w:rsid w:val="000E5EB5"/>
    <w:rsid w:val="000F277C"/>
    <w:rsid w:val="000F35ED"/>
    <w:rsid w:val="000F7DDE"/>
    <w:rsid w:val="00100A84"/>
    <w:rsid w:val="0010146A"/>
    <w:rsid w:val="0010202D"/>
    <w:rsid w:val="00102EE8"/>
    <w:rsid w:val="00103488"/>
    <w:rsid w:val="00104558"/>
    <w:rsid w:val="00105A3A"/>
    <w:rsid w:val="00107131"/>
    <w:rsid w:val="0010736F"/>
    <w:rsid w:val="00110A94"/>
    <w:rsid w:val="00110AC8"/>
    <w:rsid w:val="00113F73"/>
    <w:rsid w:val="00114F57"/>
    <w:rsid w:val="0011620E"/>
    <w:rsid w:val="00121CC2"/>
    <w:rsid w:val="00122233"/>
    <w:rsid w:val="00122BA1"/>
    <w:rsid w:val="00124327"/>
    <w:rsid w:val="00130FDB"/>
    <w:rsid w:val="00133EE5"/>
    <w:rsid w:val="001349AF"/>
    <w:rsid w:val="0013507E"/>
    <w:rsid w:val="001376EB"/>
    <w:rsid w:val="001378AC"/>
    <w:rsid w:val="00140721"/>
    <w:rsid w:val="00140B39"/>
    <w:rsid w:val="00141466"/>
    <w:rsid w:val="0014173E"/>
    <w:rsid w:val="00143A41"/>
    <w:rsid w:val="00147730"/>
    <w:rsid w:val="00150A92"/>
    <w:rsid w:val="00152916"/>
    <w:rsid w:val="0015347B"/>
    <w:rsid w:val="001557C0"/>
    <w:rsid w:val="0015640C"/>
    <w:rsid w:val="00160007"/>
    <w:rsid w:val="00161A8C"/>
    <w:rsid w:val="001635B6"/>
    <w:rsid w:val="001659A8"/>
    <w:rsid w:val="00165FF0"/>
    <w:rsid w:val="00166189"/>
    <w:rsid w:val="00167A34"/>
    <w:rsid w:val="001752FA"/>
    <w:rsid w:val="001804B9"/>
    <w:rsid w:val="001818B4"/>
    <w:rsid w:val="00181C26"/>
    <w:rsid w:val="00181F34"/>
    <w:rsid w:val="00183951"/>
    <w:rsid w:val="00185737"/>
    <w:rsid w:val="001858B8"/>
    <w:rsid w:val="00186DF3"/>
    <w:rsid w:val="00190562"/>
    <w:rsid w:val="00190F57"/>
    <w:rsid w:val="001913D0"/>
    <w:rsid w:val="0019547B"/>
    <w:rsid w:val="00195933"/>
    <w:rsid w:val="001971EB"/>
    <w:rsid w:val="001A42AC"/>
    <w:rsid w:val="001A563C"/>
    <w:rsid w:val="001A7870"/>
    <w:rsid w:val="001B0EF4"/>
    <w:rsid w:val="001C103F"/>
    <w:rsid w:val="001C1B41"/>
    <w:rsid w:val="001C45CE"/>
    <w:rsid w:val="001C55B2"/>
    <w:rsid w:val="001C6ADA"/>
    <w:rsid w:val="001C707E"/>
    <w:rsid w:val="001C7361"/>
    <w:rsid w:val="001C73BD"/>
    <w:rsid w:val="001D18C7"/>
    <w:rsid w:val="001D65EF"/>
    <w:rsid w:val="001D686C"/>
    <w:rsid w:val="001E15B6"/>
    <w:rsid w:val="001E1AC4"/>
    <w:rsid w:val="001F2841"/>
    <w:rsid w:val="001F3229"/>
    <w:rsid w:val="001F409C"/>
    <w:rsid w:val="001F4B1B"/>
    <w:rsid w:val="002020EC"/>
    <w:rsid w:val="00204B61"/>
    <w:rsid w:val="00205343"/>
    <w:rsid w:val="00206909"/>
    <w:rsid w:val="00207723"/>
    <w:rsid w:val="002102D4"/>
    <w:rsid w:val="00210A59"/>
    <w:rsid w:val="002250A3"/>
    <w:rsid w:val="00226514"/>
    <w:rsid w:val="002266F5"/>
    <w:rsid w:val="00227E03"/>
    <w:rsid w:val="00230A38"/>
    <w:rsid w:val="0023103A"/>
    <w:rsid w:val="00231527"/>
    <w:rsid w:val="00231BDA"/>
    <w:rsid w:val="00231FE4"/>
    <w:rsid w:val="00232107"/>
    <w:rsid w:val="0023488D"/>
    <w:rsid w:val="00235217"/>
    <w:rsid w:val="00235E47"/>
    <w:rsid w:val="002400AF"/>
    <w:rsid w:val="00240724"/>
    <w:rsid w:val="002431E5"/>
    <w:rsid w:val="0024380F"/>
    <w:rsid w:val="002454D1"/>
    <w:rsid w:val="00246D1F"/>
    <w:rsid w:val="00247403"/>
    <w:rsid w:val="00247428"/>
    <w:rsid w:val="00247542"/>
    <w:rsid w:val="00250F11"/>
    <w:rsid w:val="00256006"/>
    <w:rsid w:val="0026250E"/>
    <w:rsid w:val="00265631"/>
    <w:rsid w:val="0026662D"/>
    <w:rsid w:val="002666EC"/>
    <w:rsid w:val="00266B61"/>
    <w:rsid w:val="0026712A"/>
    <w:rsid w:val="002704DB"/>
    <w:rsid w:val="00271005"/>
    <w:rsid w:val="002711BA"/>
    <w:rsid w:val="00271811"/>
    <w:rsid w:val="00272AC1"/>
    <w:rsid w:val="0027459B"/>
    <w:rsid w:val="00274E4A"/>
    <w:rsid w:val="00275B88"/>
    <w:rsid w:val="00275B94"/>
    <w:rsid w:val="00276DF8"/>
    <w:rsid w:val="00277EF9"/>
    <w:rsid w:val="002827DD"/>
    <w:rsid w:val="002918F0"/>
    <w:rsid w:val="00292129"/>
    <w:rsid w:val="002A051D"/>
    <w:rsid w:val="002A0AAE"/>
    <w:rsid w:val="002A15BE"/>
    <w:rsid w:val="002A238C"/>
    <w:rsid w:val="002A3241"/>
    <w:rsid w:val="002A37C2"/>
    <w:rsid w:val="002A3E0F"/>
    <w:rsid w:val="002A5121"/>
    <w:rsid w:val="002A5820"/>
    <w:rsid w:val="002A599E"/>
    <w:rsid w:val="002A64FD"/>
    <w:rsid w:val="002B247C"/>
    <w:rsid w:val="002C2A74"/>
    <w:rsid w:val="002C359E"/>
    <w:rsid w:val="002C404B"/>
    <w:rsid w:val="002C5599"/>
    <w:rsid w:val="002C67BE"/>
    <w:rsid w:val="002D0107"/>
    <w:rsid w:val="002D1ED2"/>
    <w:rsid w:val="002D261D"/>
    <w:rsid w:val="002D2B26"/>
    <w:rsid w:val="002D2E5E"/>
    <w:rsid w:val="002D33F6"/>
    <w:rsid w:val="002D3E3D"/>
    <w:rsid w:val="002D7EA2"/>
    <w:rsid w:val="002E187C"/>
    <w:rsid w:val="002E2BF0"/>
    <w:rsid w:val="002E2F86"/>
    <w:rsid w:val="002E4AEA"/>
    <w:rsid w:val="002E5F82"/>
    <w:rsid w:val="002E6993"/>
    <w:rsid w:val="002E6F71"/>
    <w:rsid w:val="002F1473"/>
    <w:rsid w:val="002F3D27"/>
    <w:rsid w:val="002F6BB3"/>
    <w:rsid w:val="0030014C"/>
    <w:rsid w:val="00300BFD"/>
    <w:rsid w:val="00301F47"/>
    <w:rsid w:val="00302733"/>
    <w:rsid w:val="003035AF"/>
    <w:rsid w:val="00303D52"/>
    <w:rsid w:val="00303ECA"/>
    <w:rsid w:val="00304544"/>
    <w:rsid w:val="00304EEF"/>
    <w:rsid w:val="00307ABC"/>
    <w:rsid w:val="00310AF9"/>
    <w:rsid w:val="00314078"/>
    <w:rsid w:val="0031535D"/>
    <w:rsid w:val="0031538E"/>
    <w:rsid w:val="003157AC"/>
    <w:rsid w:val="0031708F"/>
    <w:rsid w:val="003201B2"/>
    <w:rsid w:val="00326676"/>
    <w:rsid w:val="003267A9"/>
    <w:rsid w:val="003267E4"/>
    <w:rsid w:val="0033028D"/>
    <w:rsid w:val="0033169F"/>
    <w:rsid w:val="003321E4"/>
    <w:rsid w:val="003327C4"/>
    <w:rsid w:val="003330AC"/>
    <w:rsid w:val="0033344C"/>
    <w:rsid w:val="00333488"/>
    <w:rsid w:val="00334E4A"/>
    <w:rsid w:val="00336CFC"/>
    <w:rsid w:val="00336F56"/>
    <w:rsid w:val="00341807"/>
    <w:rsid w:val="0034572B"/>
    <w:rsid w:val="00346C95"/>
    <w:rsid w:val="0034709C"/>
    <w:rsid w:val="0034767B"/>
    <w:rsid w:val="00355E3A"/>
    <w:rsid w:val="00356185"/>
    <w:rsid w:val="0035643D"/>
    <w:rsid w:val="00356D61"/>
    <w:rsid w:val="0035749B"/>
    <w:rsid w:val="00360380"/>
    <w:rsid w:val="00361415"/>
    <w:rsid w:val="003638B7"/>
    <w:rsid w:val="00365246"/>
    <w:rsid w:val="00365872"/>
    <w:rsid w:val="003671F2"/>
    <w:rsid w:val="00371282"/>
    <w:rsid w:val="0037250C"/>
    <w:rsid w:val="0037519E"/>
    <w:rsid w:val="00375493"/>
    <w:rsid w:val="00375DD2"/>
    <w:rsid w:val="00382285"/>
    <w:rsid w:val="00384AFD"/>
    <w:rsid w:val="00386CF0"/>
    <w:rsid w:val="00387A9C"/>
    <w:rsid w:val="0039383C"/>
    <w:rsid w:val="00394DDF"/>
    <w:rsid w:val="00396AAD"/>
    <w:rsid w:val="003972D0"/>
    <w:rsid w:val="003A116E"/>
    <w:rsid w:val="003A319B"/>
    <w:rsid w:val="003A3610"/>
    <w:rsid w:val="003A3B6E"/>
    <w:rsid w:val="003A46DF"/>
    <w:rsid w:val="003A4C5C"/>
    <w:rsid w:val="003A51B4"/>
    <w:rsid w:val="003A7668"/>
    <w:rsid w:val="003B0BB1"/>
    <w:rsid w:val="003B2AC0"/>
    <w:rsid w:val="003B3186"/>
    <w:rsid w:val="003B3838"/>
    <w:rsid w:val="003B620B"/>
    <w:rsid w:val="003B6D0E"/>
    <w:rsid w:val="003B7C1A"/>
    <w:rsid w:val="003C00F9"/>
    <w:rsid w:val="003C025B"/>
    <w:rsid w:val="003C0F3B"/>
    <w:rsid w:val="003C157D"/>
    <w:rsid w:val="003C2784"/>
    <w:rsid w:val="003C2CBD"/>
    <w:rsid w:val="003C5658"/>
    <w:rsid w:val="003C676B"/>
    <w:rsid w:val="003C6932"/>
    <w:rsid w:val="003C7840"/>
    <w:rsid w:val="003D3BC2"/>
    <w:rsid w:val="003D5252"/>
    <w:rsid w:val="003D6002"/>
    <w:rsid w:val="003D67C7"/>
    <w:rsid w:val="003D6F27"/>
    <w:rsid w:val="003D77F0"/>
    <w:rsid w:val="003D7C03"/>
    <w:rsid w:val="003E15E3"/>
    <w:rsid w:val="003E30D4"/>
    <w:rsid w:val="003E432F"/>
    <w:rsid w:val="003E5264"/>
    <w:rsid w:val="003E628A"/>
    <w:rsid w:val="003E6CA1"/>
    <w:rsid w:val="003F0914"/>
    <w:rsid w:val="003F49D7"/>
    <w:rsid w:val="003F692D"/>
    <w:rsid w:val="003F6EEA"/>
    <w:rsid w:val="003F72AB"/>
    <w:rsid w:val="00400438"/>
    <w:rsid w:val="00403395"/>
    <w:rsid w:val="0040339C"/>
    <w:rsid w:val="00410224"/>
    <w:rsid w:val="004165C2"/>
    <w:rsid w:val="00416847"/>
    <w:rsid w:val="00416AF7"/>
    <w:rsid w:val="00423D8B"/>
    <w:rsid w:val="0042441B"/>
    <w:rsid w:val="00424722"/>
    <w:rsid w:val="00426114"/>
    <w:rsid w:val="00426B45"/>
    <w:rsid w:val="00427BE7"/>
    <w:rsid w:val="0043334D"/>
    <w:rsid w:val="00434DA4"/>
    <w:rsid w:val="004350B6"/>
    <w:rsid w:val="00437655"/>
    <w:rsid w:val="00440AE0"/>
    <w:rsid w:val="00441031"/>
    <w:rsid w:val="00441034"/>
    <w:rsid w:val="0044187F"/>
    <w:rsid w:val="00441ECB"/>
    <w:rsid w:val="00444CDB"/>
    <w:rsid w:val="00445099"/>
    <w:rsid w:val="004450D1"/>
    <w:rsid w:val="00445EC3"/>
    <w:rsid w:val="00445EE9"/>
    <w:rsid w:val="00452956"/>
    <w:rsid w:val="00453E50"/>
    <w:rsid w:val="00454D40"/>
    <w:rsid w:val="00462FA5"/>
    <w:rsid w:val="00463FF4"/>
    <w:rsid w:val="00464008"/>
    <w:rsid w:val="00464F5C"/>
    <w:rsid w:val="004679D9"/>
    <w:rsid w:val="00467B7E"/>
    <w:rsid w:val="00473A52"/>
    <w:rsid w:val="00474776"/>
    <w:rsid w:val="00474BDA"/>
    <w:rsid w:val="00476437"/>
    <w:rsid w:val="00477562"/>
    <w:rsid w:val="00477592"/>
    <w:rsid w:val="00480661"/>
    <w:rsid w:val="00482EC8"/>
    <w:rsid w:val="00483FA0"/>
    <w:rsid w:val="00486F1C"/>
    <w:rsid w:val="004877D8"/>
    <w:rsid w:val="004901DE"/>
    <w:rsid w:val="00490FBA"/>
    <w:rsid w:val="00491F2D"/>
    <w:rsid w:val="00492A23"/>
    <w:rsid w:val="0049419D"/>
    <w:rsid w:val="004A16E9"/>
    <w:rsid w:val="004A17F9"/>
    <w:rsid w:val="004A402D"/>
    <w:rsid w:val="004A7725"/>
    <w:rsid w:val="004A7E5F"/>
    <w:rsid w:val="004B0BE0"/>
    <w:rsid w:val="004B299F"/>
    <w:rsid w:val="004B54AC"/>
    <w:rsid w:val="004B579B"/>
    <w:rsid w:val="004B5B41"/>
    <w:rsid w:val="004B63BE"/>
    <w:rsid w:val="004C20D2"/>
    <w:rsid w:val="004C2B7C"/>
    <w:rsid w:val="004C2F19"/>
    <w:rsid w:val="004C384D"/>
    <w:rsid w:val="004C4B62"/>
    <w:rsid w:val="004C54C9"/>
    <w:rsid w:val="004C790D"/>
    <w:rsid w:val="004D0C5A"/>
    <w:rsid w:val="004D195F"/>
    <w:rsid w:val="004D2720"/>
    <w:rsid w:val="004D3001"/>
    <w:rsid w:val="004D6025"/>
    <w:rsid w:val="004D6618"/>
    <w:rsid w:val="004E12CC"/>
    <w:rsid w:val="004E209F"/>
    <w:rsid w:val="004E2596"/>
    <w:rsid w:val="004E2649"/>
    <w:rsid w:val="004E74B0"/>
    <w:rsid w:val="004F142E"/>
    <w:rsid w:val="004F1F9E"/>
    <w:rsid w:val="004F47A6"/>
    <w:rsid w:val="004F5D6B"/>
    <w:rsid w:val="004F627D"/>
    <w:rsid w:val="004F6F01"/>
    <w:rsid w:val="004F7820"/>
    <w:rsid w:val="00501399"/>
    <w:rsid w:val="00504821"/>
    <w:rsid w:val="0050633D"/>
    <w:rsid w:val="00506F4D"/>
    <w:rsid w:val="00507BC4"/>
    <w:rsid w:val="00511DC2"/>
    <w:rsid w:val="005128E4"/>
    <w:rsid w:val="005133DB"/>
    <w:rsid w:val="00513617"/>
    <w:rsid w:val="00520508"/>
    <w:rsid w:val="0052531E"/>
    <w:rsid w:val="00525392"/>
    <w:rsid w:val="00525560"/>
    <w:rsid w:val="00526DFC"/>
    <w:rsid w:val="005303ED"/>
    <w:rsid w:val="005318B3"/>
    <w:rsid w:val="005354F3"/>
    <w:rsid w:val="00535910"/>
    <w:rsid w:val="00535FC6"/>
    <w:rsid w:val="00536923"/>
    <w:rsid w:val="0054140C"/>
    <w:rsid w:val="005421DD"/>
    <w:rsid w:val="005430CE"/>
    <w:rsid w:val="00544C49"/>
    <w:rsid w:val="00545D17"/>
    <w:rsid w:val="005513F2"/>
    <w:rsid w:val="005516A1"/>
    <w:rsid w:val="0055184B"/>
    <w:rsid w:val="005554EB"/>
    <w:rsid w:val="005558DF"/>
    <w:rsid w:val="00555C37"/>
    <w:rsid w:val="00557984"/>
    <w:rsid w:val="00560E19"/>
    <w:rsid w:val="00561A99"/>
    <w:rsid w:val="00563A27"/>
    <w:rsid w:val="005648F3"/>
    <w:rsid w:val="00564C3F"/>
    <w:rsid w:val="00565744"/>
    <w:rsid w:val="00571260"/>
    <w:rsid w:val="0057402A"/>
    <w:rsid w:val="005771D0"/>
    <w:rsid w:val="00586404"/>
    <w:rsid w:val="0058724F"/>
    <w:rsid w:val="005900EB"/>
    <w:rsid w:val="0059191A"/>
    <w:rsid w:val="005921FF"/>
    <w:rsid w:val="005937F1"/>
    <w:rsid w:val="00594BFD"/>
    <w:rsid w:val="00595C1D"/>
    <w:rsid w:val="005A2712"/>
    <w:rsid w:val="005A27E1"/>
    <w:rsid w:val="005A3094"/>
    <w:rsid w:val="005A44DF"/>
    <w:rsid w:val="005A6B50"/>
    <w:rsid w:val="005A6D0E"/>
    <w:rsid w:val="005A7EAA"/>
    <w:rsid w:val="005B1221"/>
    <w:rsid w:val="005B2A81"/>
    <w:rsid w:val="005B52B0"/>
    <w:rsid w:val="005B6806"/>
    <w:rsid w:val="005C19EC"/>
    <w:rsid w:val="005C2035"/>
    <w:rsid w:val="005C2CAD"/>
    <w:rsid w:val="005C4225"/>
    <w:rsid w:val="005C4633"/>
    <w:rsid w:val="005C4CA5"/>
    <w:rsid w:val="005D08FC"/>
    <w:rsid w:val="005D0DB1"/>
    <w:rsid w:val="005D2ECA"/>
    <w:rsid w:val="005D44B9"/>
    <w:rsid w:val="005D4A63"/>
    <w:rsid w:val="005D4AA6"/>
    <w:rsid w:val="005D5BF1"/>
    <w:rsid w:val="005E1EA7"/>
    <w:rsid w:val="005E7058"/>
    <w:rsid w:val="005E7D75"/>
    <w:rsid w:val="005E7DC5"/>
    <w:rsid w:val="005F034C"/>
    <w:rsid w:val="005F0DAD"/>
    <w:rsid w:val="005F0F33"/>
    <w:rsid w:val="005F1176"/>
    <w:rsid w:val="005F309E"/>
    <w:rsid w:val="005F3BC1"/>
    <w:rsid w:val="005F4BD8"/>
    <w:rsid w:val="005F5EBC"/>
    <w:rsid w:val="005F7357"/>
    <w:rsid w:val="00600DEB"/>
    <w:rsid w:val="0060299C"/>
    <w:rsid w:val="00603472"/>
    <w:rsid w:val="00603B04"/>
    <w:rsid w:val="006056FD"/>
    <w:rsid w:val="0060659B"/>
    <w:rsid w:val="00607FDC"/>
    <w:rsid w:val="00611E75"/>
    <w:rsid w:val="006125C3"/>
    <w:rsid w:val="00615A4D"/>
    <w:rsid w:val="00615FBF"/>
    <w:rsid w:val="00617EB0"/>
    <w:rsid w:val="00617FC5"/>
    <w:rsid w:val="0062695A"/>
    <w:rsid w:val="00627C9F"/>
    <w:rsid w:val="00630C64"/>
    <w:rsid w:val="006311E9"/>
    <w:rsid w:val="00632354"/>
    <w:rsid w:val="00632BA1"/>
    <w:rsid w:val="00641481"/>
    <w:rsid w:val="00642810"/>
    <w:rsid w:val="00645683"/>
    <w:rsid w:val="00647BA6"/>
    <w:rsid w:val="00652333"/>
    <w:rsid w:val="00653F15"/>
    <w:rsid w:val="006571C9"/>
    <w:rsid w:val="006610B6"/>
    <w:rsid w:val="00662B40"/>
    <w:rsid w:val="00662BC6"/>
    <w:rsid w:val="00664173"/>
    <w:rsid w:val="006642A1"/>
    <w:rsid w:val="00671DB0"/>
    <w:rsid w:val="0067279B"/>
    <w:rsid w:val="006731A0"/>
    <w:rsid w:val="00677ED5"/>
    <w:rsid w:val="0068009E"/>
    <w:rsid w:val="0068028B"/>
    <w:rsid w:val="00680B27"/>
    <w:rsid w:val="006837A3"/>
    <w:rsid w:val="0068446F"/>
    <w:rsid w:val="006856D0"/>
    <w:rsid w:val="00692219"/>
    <w:rsid w:val="0069659A"/>
    <w:rsid w:val="006A0978"/>
    <w:rsid w:val="006A17D2"/>
    <w:rsid w:val="006A4B39"/>
    <w:rsid w:val="006A59E9"/>
    <w:rsid w:val="006A6596"/>
    <w:rsid w:val="006A6795"/>
    <w:rsid w:val="006A73E6"/>
    <w:rsid w:val="006B149C"/>
    <w:rsid w:val="006B165E"/>
    <w:rsid w:val="006B2CE3"/>
    <w:rsid w:val="006B2D5C"/>
    <w:rsid w:val="006B386B"/>
    <w:rsid w:val="006B4A47"/>
    <w:rsid w:val="006B4D40"/>
    <w:rsid w:val="006B5A26"/>
    <w:rsid w:val="006B615D"/>
    <w:rsid w:val="006C12CF"/>
    <w:rsid w:val="006C1A20"/>
    <w:rsid w:val="006C2A63"/>
    <w:rsid w:val="006C2F00"/>
    <w:rsid w:val="006C3C2E"/>
    <w:rsid w:val="006C4831"/>
    <w:rsid w:val="006C4BBB"/>
    <w:rsid w:val="006C4EB1"/>
    <w:rsid w:val="006D029F"/>
    <w:rsid w:val="006D0AEE"/>
    <w:rsid w:val="006D1AA9"/>
    <w:rsid w:val="006D3681"/>
    <w:rsid w:val="006E0166"/>
    <w:rsid w:val="006E2107"/>
    <w:rsid w:val="006E6600"/>
    <w:rsid w:val="006E7B34"/>
    <w:rsid w:val="006F119D"/>
    <w:rsid w:val="006F5B95"/>
    <w:rsid w:val="006F6A26"/>
    <w:rsid w:val="00701303"/>
    <w:rsid w:val="007014B9"/>
    <w:rsid w:val="0070221B"/>
    <w:rsid w:val="00702A83"/>
    <w:rsid w:val="00703900"/>
    <w:rsid w:val="0070697F"/>
    <w:rsid w:val="00711E19"/>
    <w:rsid w:val="00712B32"/>
    <w:rsid w:val="00714252"/>
    <w:rsid w:val="00714D3C"/>
    <w:rsid w:val="007153B1"/>
    <w:rsid w:val="0071685A"/>
    <w:rsid w:val="0072057C"/>
    <w:rsid w:val="0072131C"/>
    <w:rsid w:val="00721647"/>
    <w:rsid w:val="0072199C"/>
    <w:rsid w:val="00722C9F"/>
    <w:rsid w:val="007253B8"/>
    <w:rsid w:val="00725881"/>
    <w:rsid w:val="00727A26"/>
    <w:rsid w:val="00732056"/>
    <w:rsid w:val="00732459"/>
    <w:rsid w:val="00735ABB"/>
    <w:rsid w:val="0073631B"/>
    <w:rsid w:val="00737203"/>
    <w:rsid w:val="007373E8"/>
    <w:rsid w:val="0073741F"/>
    <w:rsid w:val="00745E69"/>
    <w:rsid w:val="007506D3"/>
    <w:rsid w:val="00753D44"/>
    <w:rsid w:val="00755C3D"/>
    <w:rsid w:val="007577F9"/>
    <w:rsid w:val="0075786C"/>
    <w:rsid w:val="00757AF9"/>
    <w:rsid w:val="0076020F"/>
    <w:rsid w:val="00765BDF"/>
    <w:rsid w:val="0076643F"/>
    <w:rsid w:val="00771FCD"/>
    <w:rsid w:val="00775F43"/>
    <w:rsid w:val="00776311"/>
    <w:rsid w:val="007765A3"/>
    <w:rsid w:val="00777F63"/>
    <w:rsid w:val="00780E9E"/>
    <w:rsid w:val="00781B0E"/>
    <w:rsid w:val="007875C4"/>
    <w:rsid w:val="007934BC"/>
    <w:rsid w:val="00796C64"/>
    <w:rsid w:val="00796CF3"/>
    <w:rsid w:val="00797238"/>
    <w:rsid w:val="007A00BA"/>
    <w:rsid w:val="007A1151"/>
    <w:rsid w:val="007A27B3"/>
    <w:rsid w:val="007A385F"/>
    <w:rsid w:val="007A5817"/>
    <w:rsid w:val="007A7A9B"/>
    <w:rsid w:val="007B2BC2"/>
    <w:rsid w:val="007B3246"/>
    <w:rsid w:val="007B3F95"/>
    <w:rsid w:val="007B60E9"/>
    <w:rsid w:val="007B6CC3"/>
    <w:rsid w:val="007C14D3"/>
    <w:rsid w:val="007C30E1"/>
    <w:rsid w:val="007C3334"/>
    <w:rsid w:val="007C756A"/>
    <w:rsid w:val="007D0514"/>
    <w:rsid w:val="007D09B5"/>
    <w:rsid w:val="007D2B98"/>
    <w:rsid w:val="007D6426"/>
    <w:rsid w:val="007E1035"/>
    <w:rsid w:val="007E21BC"/>
    <w:rsid w:val="007E3F7F"/>
    <w:rsid w:val="007E681B"/>
    <w:rsid w:val="007E7215"/>
    <w:rsid w:val="007F06E6"/>
    <w:rsid w:val="007F0853"/>
    <w:rsid w:val="007F46EB"/>
    <w:rsid w:val="007F4C0A"/>
    <w:rsid w:val="007F54EA"/>
    <w:rsid w:val="007F6D62"/>
    <w:rsid w:val="007F7948"/>
    <w:rsid w:val="007F7E9A"/>
    <w:rsid w:val="0080355C"/>
    <w:rsid w:val="00803B66"/>
    <w:rsid w:val="00803F1C"/>
    <w:rsid w:val="0080600E"/>
    <w:rsid w:val="00814114"/>
    <w:rsid w:val="00815021"/>
    <w:rsid w:val="008162B1"/>
    <w:rsid w:val="00816B62"/>
    <w:rsid w:val="00817612"/>
    <w:rsid w:val="00820434"/>
    <w:rsid w:val="008217E6"/>
    <w:rsid w:val="00821DBB"/>
    <w:rsid w:val="008235E5"/>
    <w:rsid w:val="00825109"/>
    <w:rsid w:val="008252C4"/>
    <w:rsid w:val="008259D8"/>
    <w:rsid w:val="008266A7"/>
    <w:rsid w:val="00832409"/>
    <w:rsid w:val="00832D51"/>
    <w:rsid w:val="008338A4"/>
    <w:rsid w:val="00835C67"/>
    <w:rsid w:val="00837C45"/>
    <w:rsid w:val="00841AA5"/>
    <w:rsid w:val="0084344B"/>
    <w:rsid w:val="00844730"/>
    <w:rsid w:val="00845530"/>
    <w:rsid w:val="008457C2"/>
    <w:rsid w:val="00847736"/>
    <w:rsid w:val="00850996"/>
    <w:rsid w:val="00850AA6"/>
    <w:rsid w:val="0085498C"/>
    <w:rsid w:val="008550DB"/>
    <w:rsid w:val="00857A82"/>
    <w:rsid w:val="00863872"/>
    <w:rsid w:val="00863D4B"/>
    <w:rsid w:val="0086766D"/>
    <w:rsid w:val="00870978"/>
    <w:rsid w:val="00870DC4"/>
    <w:rsid w:val="00872A90"/>
    <w:rsid w:val="00873836"/>
    <w:rsid w:val="00873E29"/>
    <w:rsid w:val="00876939"/>
    <w:rsid w:val="008853FC"/>
    <w:rsid w:val="00885737"/>
    <w:rsid w:val="008862FE"/>
    <w:rsid w:val="00890650"/>
    <w:rsid w:val="008926A9"/>
    <w:rsid w:val="00894E4F"/>
    <w:rsid w:val="0089503A"/>
    <w:rsid w:val="00897E12"/>
    <w:rsid w:val="008A087E"/>
    <w:rsid w:val="008A28A3"/>
    <w:rsid w:val="008A3FA5"/>
    <w:rsid w:val="008A4974"/>
    <w:rsid w:val="008A67A7"/>
    <w:rsid w:val="008A7113"/>
    <w:rsid w:val="008A72FF"/>
    <w:rsid w:val="008A7E0F"/>
    <w:rsid w:val="008B12F5"/>
    <w:rsid w:val="008B4DE4"/>
    <w:rsid w:val="008B6076"/>
    <w:rsid w:val="008B6EF2"/>
    <w:rsid w:val="008C0A06"/>
    <w:rsid w:val="008C1DA6"/>
    <w:rsid w:val="008C2599"/>
    <w:rsid w:val="008C3098"/>
    <w:rsid w:val="008C48C7"/>
    <w:rsid w:val="008C5D15"/>
    <w:rsid w:val="008C74A4"/>
    <w:rsid w:val="008C7CBD"/>
    <w:rsid w:val="008D11AF"/>
    <w:rsid w:val="008D2694"/>
    <w:rsid w:val="008D48C7"/>
    <w:rsid w:val="008D4C08"/>
    <w:rsid w:val="008D4EA2"/>
    <w:rsid w:val="008D768D"/>
    <w:rsid w:val="008E003B"/>
    <w:rsid w:val="008E13AB"/>
    <w:rsid w:val="008E275D"/>
    <w:rsid w:val="008E3759"/>
    <w:rsid w:val="008E62A1"/>
    <w:rsid w:val="008F1912"/>
    <w:rsid w:val="008F1B28"/>
    <w:rsid w:val="008F24C0"/>
    <w:rsid w:val="008F54E0"/>
    <w:rsid w:val="008F604B"/>
    <w:rsid w:val="009014A4"/>
    <w:rsid w:val="0090270B"/>
    <w:rsid w:val="009041DC"/>
    <w:rsid w:val="009054ED"/>
    <w:rsid w:val="00917B5A"/>
    <w:rsid w:val="009204B3"/>
    <w:rsid w:val="00920A58"/>
    <w:rsid w:val="00920A8C"/>
    <w:rsid w:val="00920EA0"/>
    <w:rsid w:val="0092111F"/>
    <w:rsid w:val="00922149"/>
    <w:rsid w:val="009233A5"/>
    <w:rsid w:val="00924274"/>
    <w:rsid w:val="00926ADC"/>
    <w:rsid w:val="00927649"/>
    <w:rsid w:val="00931127"/>
    <w:rsid w:val="009317BA"/>
    <w:rsid w:val="00932FA5"/>
    <w:rsid w:val="00934A2C"/>
    <w:rsid w:val="00935B7C"/>
    <w:rsid w:val="00940C34"/>
    <w:rsid w:val="00940F6A"/>
    <w:rsid w:val="00945096"/>
    <w:rsid w:val="00945480"/>
    <w:rsid w:val="00946311"/>
    <w:rsid w:val="00950E38"/>
    <w:rsid w:val="00951CBC"/>
    <w:rsid w:val="009526BA"/>
    <w:rsid w:val="00952A3F"/>
    <w:rsid w:val="00956737"/>
    <w:rsid w:val="00956DE2"/>
    <w:rsid w:val="009602B8"/>
    <w:rsid w:val="009609E8"/>
    <w:rsid w:val="009623ED"/>
    <w:rsid w:val="00962A92"/>
    <w:rsid w:val="00964567"/>
    <w:rsid w:val="00965011"/>
    <w:rsid w:val="00965042"/>
    <w:rsid w:val="0096599C"/>
    <w:rsid w:val="0096649B"/>
    <w:rsid w:val="0096706E"/>
    <w:rsid w:val="00972FB6"/>
    <w:rsid w:val="00974549"/>
    <w:rsid w:val="00975C4E"/>
    <w:rsid w:val="00976B0F"/>
    <w:rsid w:val="009804B5"/>
    <w:rsid w:val="00981FBA"/>
    <w:rsid w:val="009824C9"/>
    <w:rsid w:val="0099102C"/>
    <w:rsid w:val="00993362"/>
    <w:rsid w:val="009955F3"/>
    <w:rsid w:val="00995C1F"/>
    <w:rsid w:val="00997BC5"/>
    <w:rsid w:val="009A0BE3"/>
    <w:rsid w:val="009A1FA1"/>
    <w:rsid w:val="009A4921"/>
    <w:rsid w:val="009A4F41"/>
    <w:rsid w:val="009A580A"/>
    <w:rsid w:val="009B11BF"/>
    <w:rsid w:val="009B2B2A"/>
    <w:rsid w:val="009B2F02"/>
    <w:rsid w:val="009B381B"/>
    <w:rsid w:val="009B3AFB"/>
    <w:rsid w:val="009C078F"/>
    <w:rsid w:val="009C15E1"/>
    <w:rsid w:val="009C2A5B"/>
    <w:rsid w:val="009C4EAA"/>
    <w:rsid w:val="009C4EB2"/>
    <w:rsid w:val="009C60FE"/>
    <w:rsid w:val="009C65D8"/>
    <w:rsid w:val="009D0327"/>
    <w:rsid w:val="009D11A5"/>
    <w:rsid w:val="009D11C8"/>
    <w:rsid w:val="009D1753"/>
    <w:rsid w:val="009D202E"/>
    <w:rsid w:val="009D2767"/>
    <w:rsid w:val="009D4572"/>
    <w:rsid w:val="009D55AD"/>
    <w:rsid w:val="009D6485"/>
    <w:rsid w:val="009D7611"/>
    <w:rsid w:val="009E0B61"/>
    <w:rsid w:val="009E2FF8"/>
    <w:rsid w:val="009E53DE"/>
    <w:rsid w:val="009F07E1"/>
    <w:rsid w:val="009F2E61"/>
    <w:rsid w:val="009F50A3"/>
    <w:rsid w:val="009F6AFD"/>
    <w:rsid w:val="009F728C"/>
    <w:rsid w:val="009F736B"/>
    <w:rsid w:val="00A021FC"/>
    <w:rsid w:val="00A05884"/>
    <w:rsid w:val="00A10B77"/>
    <w:rsid w:val="00A12357"/>
    <w:rsid w:val="00A12B30"/>
    <w:rsid w:val="00A12F68"/>
    <w:rsid w:val="00A16695"/>
    <w:rsid w:val="00A21F95"/>
    <w:rsid w:val="00A21FD8"/>
    <w:rsid w:val="00A2315C"/>
    <w:rsid w:val="00A2378D"/>
    <w:rsid w:val="00A2397C"/>
    <w:rsid w:val="00A2409B"/>
    <w:rsid w:val="00A242F6"/>
    <w:rsid w:val="00A2598E"/>
    <w:rsid w:val="00A26CE8"/>
    <w:rsid w:val="00A27111"/>
    <w:rsid w:val="00A32698"/>
    <w:rsid w:val="00A3287E"/>
    <w:rsid w:val="00A328B3"/>
    <w:rsid w:val="00A32AF1"/>
    <w:rsid w:val="00A33B1E"/>
    <w:rsid w:val="00A41013"/>
    <w:rsid w:val="00A43858"/>
    <w:rsid w:val="00A438FF"/>
    <w:rsid w:val="00A445C5"/>
    <w:rsid w:val="00A448BF"/>
    <w:rsid w:val="00A45B06"/>
    <w:rsid w:val="00A507BF"/>
    <w:rsid w:val="00A50FCF"/>
    <w:rsid w:val="00A528D1"/>
    <w:rsid w:val="00A52B62"/>
    <w:rsid w:val="00A556F4"/>
    <w:rsid w:val="00A610CD"/>
    <w:rsid w:val="00A72664"/>
    <w:rsid w:val="00A75E63"/>
    <w:rsid w:val="00A761E6"/>
    <w:rsid w:val="00A80188"/>
    <w:rsid w:val="00A8066A"/>
    <w:rsid w:val="00A814AE"/>
    <w:rsid w:val="00A814FA"/>
    <w:rsid w:val="00A8785E"/>
    <w:rsid w:val="00A87D90"/>
    <w:rsid w:val="00A91E7E"/>
    <w:rsid w:val="00A94FA2"/>
    <w:rsid w:val="00A955A4"/>
    <w:rsid w:val="00A95E6B"/>
    <w:rsid w:val="00A96E92"/>
    <w:rsid w:val="00A972A9"/>
    <w:rsid w:val="00AA08F2"/>
    <w:rsid w:val="00AA09A2"/>
    <w:rsid w:val="00AA12F4"/>
    <w:rsid w:val="00AA5093"/>
    <w:rsid w:val="00AA59CE"/>
    <w:rsid w:val="00AA5A43"/>
    <w:rsid w:val="00AA7334"/>
    <w:rsid w:val="00AA7996"/>
    <w:rsid w:val="00AB16CA"/>
    <w:rsid w:val="00AB3B97"/>
    <w:rsid w:val="00AC19CB"/>
    <w:rsid w:val="00AC390B"/>
    <w:rsid w:val="00AC39B8"/>
    <w:rsid w:val="00AC3E37"/>
    <w:rsid w:val="00AC446B"/>
    <w:rsid w:val="00AC453B"/>
    <w:rsid w:val="00AC55D4"/>
    <w:rsid w:val="00AC5E93"/>
    <w:rsid w:val="00AD1AFD"/>
    <w:rsid w:val="00AD2CAD"/>
    <w:rsid w:val="00AD4716"/>
    <w:rsid w:val="00AE1817"/>
    <w:rsid w:val="00AE1C59"/>
    <w:rsid w:val="00AE21E0"/>
    <w:rsid w:val="00AE5488"/>
    <w:rsid w:val="00AE6F91"/>
    <w:rsid w:val="00AE7185"/>
    <w:rsid w:val="00AE7780"/>
    <w:rsid w:val="00AF042E"/>
    <w:rsid w:val="00AF162B"/>
    <w:rsid w:val="00AF27B1"/>
    <w:rsid w:val="00AF37AC"/>
    <w:rsid w:val="00AF3FD8"/>
    <w:rsid w:val="00AF5571"/>
    <w:rsid w:val="00AF59E8"/>
    <w:rsid w:val="00AF7386"/>
    <w:rsid w:val="00AF7988"/>
    <w:rsid w:val="00B01991"/>
    <w:rsid w:val="00B030C5"/>
    <w:rsid w:val="00B06E1B"/>
    <w:rsid w:val="00B07184"/>
    <w:rsid w:val="00B07341"/>
    <w:rsid w:val="00B1182C"/>
    <w:rsid w:val="00B1533A"/>
    <w:rsid w:val="00B16068"/>
    <w:rsid w:val="00B211C8"/>
    <w:rsid w:val="00B22704"/>
    <w:rsid w:val="00B30013"/>
    <w:rsid w:val="00B30539"/>
    <w:rsid w:val="00B312BB"/>
    <w:rsid w:val="00B314DB"/>
    <w:rsid w:val="00B330DE"/>
    <w:rsid w:val="00B34CCD"/>
    <w:rsid w:val="00B34CE7"/>
    <w:rsid w:val="00B361F2"/>
    <w:rsid w:val="00B36667"/>
    <w:rsid w:val="00B3718B"/>
    <w:rsid w:val="00B378E2"/>
    <w:rsid w:val="00B405AB"/>
    <w:rsid w:val="00B40D15"/>
    <w:rsid w:val="00B4100F"/>
    <w:rsid w:val="00B417F1"/>
    <w:rsid w:val="00B4632A"/>
    <w:rsid w:val="00B46899"/>
    <w:rsid w:val="00B469C6"/>
    <w:rsid w:val="00B46DA3"/>
    <w:rsid w:val="00B47170"/>
    <w:rsid w:val="00B513B1"/>
    <w:rsid w:val="00B51849"/>
    <w:rsid w:val="00B51E8D"/>
    <w:rsid w:val="00B530F1"/>
    <w:rsid w:val="00B53869"/>
    <w:rsid w:val="00B54A0C"/>
    <w:rsid w:val="00B606EE"/>
    <w:rsid w:val="00B62121"/>
    <w:rsid w:val="00B628FB"/>
    <w:rsid w:val="00B62C5E"/>
    <w:rsid w:val="00B632D6"/>
    <w:rsid w:val="00B650D0"/>
    <w:rsid w:val="00B66AE1"/>
    <w:rsid w:val="00B67999"/>
    <w:rsid w:val="00B67D50"/>
    <w:rsid w:val="00B71BE8"/>
    <w:rsid w:val="00B768C0"/>
    <w:rsid w:val="00B8213A"/>
    <w:rsid w:val="00B82998"/>
    <w:rsid w:val="00B8349B"/>
    <w:rsid w:val="00B85067"/>
    <w:rsid w:val="00B90D48"/>
    <w:rsid w:val="00B974B3"/>
    <w:rsid w:val="00BA019C"/>
    <w:rsid w:val="00BA276C"/>
    <w:rsid w:val="00BA3AFF"/>
    <w:rsid w:val="00BA461E"/>
    <w:rsid w:val="00BA5630"/>
    <w:rsid w:val="00BA79E7"/>
    <w:rsid w:val="00BB26A5"/>
    <w:rsid w:val="00BB306F"/>
    <w:rsid w:val="00BB3B32"/>
    <w:rsid w:val="00BB4E0E"/>
    <w:rsid w:val="00BB579A"/>
    <w:rsid w:val="00BB581C"/>
    <w:rsid w:val="00BB6453"/>
    <w:rsid w:val="00BC075D"/>
    <w:rsid w:val="00BC09F9"/>
    <w:rsid w:val="00BC1180"/>
    <w:rsid w:val="00BC14CC"/>
    <w:rsid w:val="00BC1661"/>
    <w:rsid w:val="00BC20AB"/>
    <w:rsid w:val="00BC4557"/>
    <w:rsid w:val="00BC5DEB"/>
    <w:rsid w:val="00BD3268"/>
    <w:rsid w:val="00BD4B89"/>
    <w:rsid w:val="00BD75DA"/>
    <w:rsid w:val="00BD79A3"/>
    <w:rsid w:val="00BE095F"/>
    <w:rsid w:val="00BE36AC"/>
    <w:rsid w:val="00BE36B6"/>
    <w:rsid w:val="00BE43BD"/>
    <w:rsid w:val="00BE5302"/>
    <w:rsid w:val="00BE6417"/>
    <w:rsid w:val="00BF02CB"/>
    <w:rsid w:val="00BF11D3"/>
    <w:rsid w:val="00BF1664"/>
    <w:rsid w:val="00BF3B09"/>
    <w:rsid w:val="00BF4E05"/>
    <w:rsid w:val="00BF57F8"/>
    <w:rsid w:val="00BF6FD8"/>
    <w:rsid w:val="00BF7BD9"/>
    <w:rsid w:val="00C0080D"/>
    <w:rsid w:val="00C03680"/>
    <w:rsid w:val="00C0462C"/>
    <w:rsid w:val="00C0470F"/>
    <w:rsid w:val="00C048AE"/>
    <w:rsid w:val="00C054DF"/>
    <w:rsid w:val="00C07A9B"/>
    <w:rsid w:val="00C126DB"/>
    <w:rsid w:val="00C136C1"/>
    <w:rsid w:val="00C13734"/>
    <w:rsid w:val="00C169E9"/>
    <w:rsid w:val="00C16ECD"/>
    <w:rsid w:val="00C21762"/>
    <w:rsid w:val="00C2222E"/>
    <w:rsid w:val="00C24543"/>
    <w:rsid w:val="00C252E1"/>
    <w:rsid w:val="00C256A2"/>
    <w:rsid w:val="00C31403"/>
    <w:rsid w:val="00C34155"/>
    <w:rsid w:val="00C40789"/>
    <w:rsid w:val="00C412F0"/>
    <w:rsid w:val="00C435F7"/>
    <w:rsid w:val="00C46A60"/>
    <w:rsid w:val="00C46EE5"/>
    <w:rsid w:val="00C51515"/>
    <w:rsid w:val="00C54302"/>
    <w:rsid w:val="00C54383"/>
    <w:rsid w:val="00C54E58"/>
    <w:rsid w:val="00C5660B"/>
    <w:rsid w:val="00C57C78"/>
    <w:rsid w:val="00C628B5"/>
    <w:rsid w:val="00C62A75"/>
    <w:rsid w:val="00C6388C"/>
    <w:rsid w:val="00C66AB4"/>
    <w:rsid w:val="00C66B72"/>
    <w:rsid w:val="00C6711C"/>
    <w:rsid w:val="00C7047E"/>
    <w:rsid w:val="00C70E8A"/>
    <w:rsid w:val="00C73140"/>
    <w:rsid w:val="00C75282"/>
    <w:rsid w:val="00C75686"/>
    <w:rsid w:val="00C810D8"/>
    <w:rsid w:val="00C83D40"/>
    <w:rsid w:val="00C8465C"/>
    <w:rsid w:val="00C859EE"/>
    <w:rsid w:val="00C914E3"/>
    <w:rsid w:val="00C925C3"/>
    <w:rsid w:val="00C92D21"/>
    <w:rsid w:val="00C9567A"/>
    <w:rsid w:val="00C95C69"/>
    <w:rsid w:val="00C97129"/>
    <w:rsid w:val="00CA0653"/>
    <w:rsid w:val="00CA116B"/>
    <w:rsid w:val="00CA205E"/>
    <w:rsid w:val="00CA6213"/>
    <w:rsid w:val="00CA6432"/>
    <w:rsid w:val="00CB1B13"/>
    <w:rsid w:val="00CB212D"/>
    <w:rsid w:val="00CB2583"/>
    <w:rsid w:val="00CB2660"/>
    <w:rsid w:val="00CB2838"/>
    <w:rsid w:val="00CB2DD3"/>
    <w:rsid w:val="00CB366D"/>
    <w:rsid w:val="00CB5CD7"/>
    <w:rsid w:val="00CB651C"/>
    <w:rsid w:val="00CB6D08"/>
    <w:rsid w:val="00CC0425"/>
    <w:rsid w:val="00CC04F2"/>
    <w:rsid w:val="00CC5323"/>
    <w:rsid w:val="00CC5E90"/>
    <w:rsid w:val="00CC63CF"/>
    <w:rsid w:val="00CC77C4"/>
    <w:rsid w:val="00CD046C"/>
    <w:rsid w:val="00CD4EEA"/>
    <w:rsid w:val="00CD6E22"/>
    <w:rsid w:val="00CE04E5"/>
    <w:rsid w:val="00CE076C"/>
    <w:rsid w:val="00CE1646"/>
    <w:rsid w:val="00CE28A4"/>
    <w:rsid w:val="00CE30DA"/>
    <w:rsid w:val="00CE3962"/>
    <w:rsid w:val="00CE4E4E"/>
    <w:rsid w:val="00CE5199"/>
    <w:rsid w:val="00CE6616"/>
    <w:rsid w:val="00CE66D2"/>
    <w:rsid w:val="00CE66D5"/>
    <w:rsid w:val="00CF4D61"/>
    <w:rsid w:val="00CF632F"/>
    <w:rsid w:val="00CF637A"/>
    <w:rsid w:val="00CF680B"/>
    <w:rsid w:val="00CF6A5A"/>
    <w:rsid w:val="00CF731E"/>
    <w:rsid w:val="00CF7882"/>
    <w:rsid w:val="00D01586"/>
    <w:rsid w:val="00D0410E"/>
    <w:rsid w:val="00D059DE"/>
    <w:rsid w:val="00D06D84"/>
    <w:rsid w:val="00D0783E"/>
    <w:rsid w:val="00D1013E"/>
    <w:rsid w:val="00D10625"/>
    <w:rsid w:val="00D12193"/>
    <w:rsid w:val="00D12854"/>
    <w:rsid w:val="00D13FCE"/>
    <w:rsid w:val="00D143B5"/>
    <w:rsid w:val="00D15366"/>
    <w:rsid w:val="00D279BE"/>
    <w:rsid w:val="00D306D1"/>
    <w:rsid w:val="00D30C06"/>
    <w:rsid w:val="00D31D6E"/>
    <w:rsid w:val="00D34786"/>
    <w:rsid w:val="00D363EA"/>
    <w:rsid w:val="00D3663E"/>
    <w:rsid w:val="00D37BFC"/>
    <w:rsid w:val="00D37F97"/>
    <w:rsid w:val="00D41AFF"/>
    <w:rsid w:val="00D4540B"/>
    <w:rsid w:val="00D45825"/>
    <w:rsid w:val="00D47A8E"/>
    <w:rsid w:val="00D5074E"/>
    <w:rsid w:val="00D52D14"/>
    <w:rsid w:val="00D5365D"/>
    <w:rsid w:val="00D557F8"/>
    <w:rsid w:val="00D57718"/>
    <w:rsid w:val="00D61570"/>
    <w:rsid w:val="00D64E3B"/>
    <w:rsid w:val="00D66DAE"/>
    <w:rsid w:val="00D71231"/>
    <w:rsid w:val="00D712D3"/>
    <w:rsid w:val="00D71422"/>
    <w:rsid w:val="00D72530"/>
    <w:rsid w:val="00D727DC"/>
    <w:rsid w:val="00D72DC6"/>
    <w:rsid w:val="00D74972"/>
    <w:rsid w:val="00D7558D"/>
    <w:rsid w:val="00D76818"/>
    <w:rsid w:val="00D81D92"/>
    <w:rsid w:val="00D82EC3"/>
    <w:rsid w:val="00D83D73"/>
    <w:rsid w:val="00D96E66"/>
    <w:rsid w:val="00DA021F"/>
    <w:rsid w:val="00DA5277"/>
    <w:rsid w:val="00DA7B5F"/>
    <w:rsid w:val="00DA7CCB"/>
    <w:rsid w:val="00DB089B"/>
    <w:rsid w:val="00DB3CD4"/>
    <w:rsid w:val="00DB45CF"/>
    <w:rsid w:val="00DB462F"/>
    <w:rsid w:val="00DB5CFF"/>
    <w:rsid w:val="00DB5E8A"/>
    <w:rsid w:val="00DC07E4"/>
    <w:rsid w:val="00DC11E7"/>
    <w:rsid w:val="00DC61B1"/>
    <w:rsid w:val="00DC7023"/>
    <w:rsid w:val="00DC769A"/>
    <w:rsid w:val="00DD0CB9"/>
    <w:rsid w:val="00DD18B2"/>
    <w:rsid w:val="00DD2873"/>
    <w:rsid w:val="00DD3D86"/>
    <w:rsid w:val="00DF1EC4"/>
    <w:rsid w:val="00DF6930"/>
    <w:rsid w:val="00DF7233"/>
    <w:rsid w:val="00E01362"/>
    <w:rsid w:val="00E0340B"/>
    <w:rsid w:val="00E03921"/>
    <w:rsid w:val="00E04A90"/>
    <w:rsid w:val="00E04A98"/>
    <w:rsid w:val="00E066F0"/>
    <w:rsid w:val="00E14464"/>
    <w:rsid w:val="00E152D3"/>
    <w:rsid w:val="00E179FC"/>
    <w:rsid w:val="00E219C7"/>
    <w:rsid w:val="00E23BBF"/>
    <w:rsid w:val="00E250A4"/>
    <w:rsid w:val="00E2569B"/>
    <w:rsid w:val="00E264B8"/>
    <w:rsid w:val="00E312B3"/>
    <w:rsid w:val="00E40E30"/>
    <w:rsid w:val="00E43157"/>
    <w:rsid w:val="00E45780"/>
    <w:rsid w:val="00E461CE"/>
    <w:rsid w:val="00E46B10"/>
    <w:rsid w:val="00E52597"/>
    <w:rsid w:val="00E539DC"/>
    <w:rsid w:val="00E54EBF"/>
    <w:rsid w:val="00E55340"/>
    <w:rsid w:val="00E55DE3"/>
    <w:rsid w:val="00E64AE9"/>
    <w:rsid w:val="00E64D6E"/>
    <w:rsid w:val="00E65931"/>
    <w:rsid w:val="00E6715C"/>
    <w:rsid w:val="00E720CA"/>
    <w:rsid w:val="00E7385B"/>
    <w:rsid w:val="00E74B27"/>
    <w:rsid w:val="00E75771"/>
    <w:rsid w:val="00E767CE"/>
    <w:rsid w:val="00E776AA"/>
    <w:rsid w:val="00E8064B"/>
    <w:rsid w:val="00E810C3"/>
    <w:rsid w:val="00E81FD3"/>
    <w:rsid w:val="00E82487"/>
    <w:rsid w:val="00E83F4F"/>
    <w:rsid w:val="00E84EB5"/>
    <w:rsid w:val="00E8521D"/>
    <w:rsid w:val="00E85662"/>
    <w:rsid w:val="00E85C54"/>
    <w:rsid w:val="00E86036"/>
    <w:rsid w:val="00E8789F"/>
    <w:rsid w:val="00E909AA"/>
    <w:rsid w:val="00E91BF9"/>
    <w:rsid w:val="00E92E92"/>
    <w:rsid w:val="00E94F6E"/>
    <w:rsid w:val="00E96AA3"/>
    <w:rsid w:val="00E977A9"/>
    <w:rsid w:val="00E97B71"/>
    <w:rsid w:val="00E97D16"/>
    <w:rsid w:val="00EA043D"/>
    <w:rsid w:val="00EA15E0"/>
    <w:rsid w:val="00EA3519"/>
    <w:rsid w:val="00EA3D34"/>
    <w:rsid w:val="00EA4322"/>
    <w:rsid w:val="00EA5F2F"/>
    <w:rsid w:val="00EA7EE0"/>
    <w:rsid w:val="00EB2E81"/>
    <w:rsid w:val="00EB454D"/>
    <w:rsid w:val="00EC090B"/>
    <w:rsid w:val="00EC0AA4"/>
    <w:rsid w:val="00EC6E25"/>
    <w:rsid w:val="00ED0061"/>
    <w:rsid w:val="00ED0844"/>
    <w:rsid w:val="00ED0FFE"/>
    <w:rsid w:val="00ED745A"/>
    <w:rsid w:val="00ED76BE"/>
    <w:rsid w:val="00EE2B89"/>
    <w:rsid w:val="00EE62AF"/>
    <w:rsid w:val="00EF10FC"/>
    <w:rsid w:val="00EF3074"/>
    <w:rsid w:val="00EF619B"/>
    <w:rsid w:val="00EF6485"/>
    <w:rsid w:val="00F00B55"/>
    <w:rsid w:val="00F02470"/>
    <w:rsid w:val="00F02AD1"/>
    <w:rsid w:val="00F03710"/>
    <w:rsid w:val="00F04169"/>
    <w:rsid w:val="00F050C7"/>
    <w:rsid w:val="00F055D9"/>
    <w:rsid w:val="00F074F5"/>
    <w:rsid w:val="00F11365"/>
    <w:rsid w:val="00F1188B"/>
    <w:rsid w:val="00F12419"/>
    <w:rsid w:val="00F12D3E"/>
    <w:rsid w:val="00F13853"/>
    <w:rsid w:val="00F1637D"/>
    <w:rsid w:val="00F207C6"/>
    <w:rsid w:val="00F218D1"/>
    <w:rsid w:val="00F231A1"/>
    <w:rsid w:val="00F231E5"/>
    <w:rsid w:val="00F253CC"/>
    <w:rsid w:val="00F26294"/>
    <w:rsid w:val="00F2781A"/>
    <w:rsid w:val="00F27BA5"/>
    <w:rsid w:val="00F31062"/>
    <w:rsid w:val="00F31A70"/>
    <w:rsid w:val="00F347DA"/>
    <w:rsid w:val="00F37106"/>
    <w:rsid w:val="00F37BAC"/>
    <w:rsid w:val="00F41A34"/>
    <w:rsid w:val="00F43701"/>
    <w:rsid w:val="00F50699"/>
    <w:rsid w:val="00F519CF"/>
    <w:rsid w:val="00F56BA5"/>
    <w:rsid w:val="00F60E22"/>
    <w:rsid w:val="00F60E86"/>
    <w:rsid w:val="00F63572"/>
    <w:rsid w:val="00F6378F"/>
    <w:rsid w:val="00F63D0A"/>
    <w:rsid w:val="00F63DDD"/>
    <w:rsid w:val="00F64E35"/>
    <w:rsid w:val="00F67785"/>
    <w:rsid w:val="00F70769"/>
    <w:rsid w:val="00F72336"/>
    <w:rsid w:val="00F73104"/>
    <w:rsid w:val="00F74AB9"/>
    <w:rsid w:val="00F74D45"/>
    <w:rsid w:val="00F7635B"/>
    <w:rsid w:val="00F7735C"/>
    <w:rsid w:val="00F80155"/>
    <w:rsid w:val="00F805FB"/>
    <w:rsid w:val="00F808C5"/>
    <w:rsid w:val="00F81395"/>
    <w:rsid w:val="00F83093"/>
    <w:rsid w:val="00F8431F"/>
    <w:rsid w:val="00F86A61"/>
    <w:rsid w:val="00F87670"/>
    <w:rsid w:val="00F902EB"/>
    <w:rsid w:val="00F90D7D"/>
    <w:rsid w:val="00F917D1"/>
    <w:rsid w:val="00F96139"/>
    <w:rsid w:val="00F9653B"/>
    <w:rsid w:val="00F97213"/>
    <w:rsid w:val="00FA1DAE"/>
    <w:rsid w:val="00FA218C"/>
    <w:rsid w:val="00FA4DCB"/>
    <w:rsid w:val="00FA515C"/>
    <w:rsid w:val="00FB00E0"/>
    <w:rsid w:val="00FB32AB"/>
    <w:rsid w:val="00FB360D"/>
    <w:rsid w:val="00FB3962"/>
    <w:rsid w:val="00FB3E2B"/>
    <w:rsid w:val="00FB53F1"/>
    <w:rsid w:val="00FB62CF"/>
    <w:rsid w:val="00FB75FF"/>
    <w:rsid w:val="00FC2A94"/>
    <w:rsid w:val="00FC5B71"/>
    <w:rsid w:val="00FC765C"/>
    <w:rsid w:val="00FC7848"/>
    <w:rsid w:val="00FD0080"/>
    <w:rsid w:val="00FD03CD"/>
    <w:rsid w:val="00FD123E"/>
    <w:rsid w:val="00FD3C3B"/>
    <w:rsid w:val="00FD5227"/>
    <w:rsid w:val="00FD53B4"/>
    <w:rsid w:val="00FD5A99"/>
    <w:rsid w:val="00FE05A0"/>
    <w:rsid w:val="00FE07DD"/>
    <w:rsid w:val="00FE108B"/>
    <w:rsid w:val="00FE1985"/>
    <w:rsid w:val="00FE3C16"/>
    <w:rsid w:val="00FE3CD3"/>
    <w:rsid w:val="00FE6B45"/>
    <w:rsid w:val="00FE71B2"/>
    <w:rsid w:val="00FF3E9D"/>
    <w:rsid w:val="00FF53A7"/>
    <w:rsid w:val="00FF55F3"/>
    <w:rsid w:val="00FF5851"/>
    <w:rsid w:val="00FF6385"/>
    <w:rsid w:val="00FF6EF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2"/>
    <o:shapelayout v:ext="edit">
      <o:idmap v:ext="edit" data="1"/>
    </o:shapelayout>
  </w:shapeDefaults>
  <w:decimalSymbol w:val="."/>
  <w:listSeparator w:val=","/>
  <w14:docId w14:val="5B8A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5">
    <w:name w:val="heading 5"/>
    <w:basedOn w:val="Normal"/>
    <w:next w:val="Normal"/>
    <w:link w:val="Heading5Char"/>
    <w:uiPriority w:val="9"/>
    <w:semiHidden/>
    <w:unhideWhenUsed/>
    <w:qFormat/>
    <w:rsid w:val="0082043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976B0F"/>
    <w:pPr>
      <w:tabs>
        <w:tab w:val="left" w:pos="1440"/>
        <w:tab w:val="right" w:leader="dot" w:pos="8820"/>
      </w:tabs>
      <w:spacing w:after="100"/>
      <w:ind w:right="-9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2E4AEA"/>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BD3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57AF9"/>
    <w:rPr>
      <w:sz w:val="16"/>
      <w:szCs w:val="16"/>
    </w:rPr>
  </w:style>
  <w:style w:type="paragraph" w:styleId="CommentText">
    <w:name w:val="annotation text"/>
    <w:basedOn w:val="Normal"/>
    <w:link w:val="CommentTextChar"/>
    <w:uiPriority w:val="99"/>
    <w:semiHidden/>
    <w:unhideWhenUsed/>
    <w:rsid w:val="00757AF9"/>
    <w:rPr>
      <w:sz w:val="20"/>
      <w:szCs w:val="20"/>
    </w:rPr>
  </w:style>
  <w:style w:type="character" w:customStyle="1" w:styleId="CommentTextChar">
    <w:name w:val="Comment Text Char"/>
    <w:basedOn w:val="DefaultParagraphFont"/>
    <w:link w:val="CommentText"/>
    <w:uiPriority w:val="99"/>
    <w:semiHidden/>
    <w:rsid w:val="00757AF9"/>
    <w:rPr>
      <w:lang w:val="en-US" w:eastAsia="en-US"/>
    </w:rPr>
  </w:style>
  <w:style w:type="paragraph" w:styleId="CommentSubject">
    <w:name w:val="annotation subject"/>
    <w:basedOn w:val="CommentText"/>
    <w:next w:val="CommentText"/>
    <w:link w:val="CommentSubjectChar"/>
    <w:uiPriority w:val="99"/>
    <w:semiHidden/>
    <w:unhideWhenUsed/>
    <w:rsid w:val="00757AF9"/>
    <w:rPr>
      <w:b/>
      <w:bCs/>
    </w:rPr>
  </w:style>
  <w:style w:type="character" w:customStyle="1" w:styleId="CommentSubjectChar">
    <w:name w:val="Comment Subject Char"/>
    <w:basedOn w:val="CommentTextChar"/>
    <w:link w:val="CommentSubject"/>
    <w:uiPriority w:val="99"/>
    <w:semiHidden/>
    <w:rsid w:val="00757AF9"/>
    <w:rPr>
      <w:b/>
      <w:bCs/>
      <w:lang w:val="en-US" w:eastAsia="en-US"/>
    </w:rPr>
  </w:style>
  <w:style w:type="character" w:customStyle="1" w:styleId="Heading5Char">
    <w:name w:val="Heading 5 Char"/>
    <w:basedOn w:val="DefaultParagraphFont"/>
    <w:link w:val="Heading5"/>
    <w:uiPriority w:val="9"/>
    <w:semiHidden/>
    <w:rsid w:val="00820434"/>
    <w:rPr>
      <w:rFonts w:asciiTheme="majorHAnsi" w:eastAsiaTheme="majorEastAsia" w:hAnsiTheme="majorHAnsi" w:cstheme="majorBidi"/>
      <w:color w:val="243F60" w:themeColor="accent1" w:themeShade="7F"/>
      <w:sz w:val="24"/>
      <w:szCs w:val="24"/>
      <w:lang w:val="en-US" w:eastAsia="en-US"/>
    </w:rPr>
  </w:style>
  <w:style w:type="character" w:customStyle="1" w:styleId="BodyTextIndentChar">
    <w:name w:val="Body Text Indent Char"/>
    <w:basedOn w:val="DefaultParagraphFont"/>
    <w:link w:val="BodyTextIndent"/>
    <w:rsid w:val="000D4B1C"/>
    <w:rPr>
      <w:rFonts w:eastAsia="Times New Roman"/>
      <w:color w:val="000000"/>
      <w:sz w:val="24"/>
      <w:szCs w:val="24"/>
      <w:u w:color="000000"/>
      <w:lang w:val="es-ES_tradnl"/>
    </w:rPr>
  </w:style>
  <w:style w:type="paragraph" w:customStyle="1" w:styleId="1">
    <w:name w:val="1"/>
    <w:basedOn w:val="Normal"/>
    <w:rsid w:val="005E7D7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paragraph" w:styleId="TOCHeading">
    <w:name w:val="TOC Heading"/>
    <w:basedOn w:val="Heading1"/>
    <w:next w:val="Normal"/>
    <w:uiPriority w:val="39"/>
    <w:semiHidden/>
    <w:unhideWhenUsed/>
    <w:qFormat/>
    <w:rsid w:val="00FC7848"/>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eader" Target="header5.xml"/><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3"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7"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2"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1" Type="http://schemas.openxmlformats.org/officeDocument/2006/relationships/hyperlink" Target="http://www.leyes.congreso.gob.pe/Documentos/Leyes/27362.pdf" TargetMode="External"/><Relationship Id="rId6"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5"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10"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4"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9" Type="http://schemas.openxmlformats.org/officeDocument/2006/relationships/hyperlink" Target="http://joomla.corteidh.or.cr:8080/joomla/es/casos-contenciosos/38-jurisprudencia/738-corte-idh-caso-claude-reyes-y-otros-vs-chile-fondo-reparaciones-y-costas-sentencia-de-19-de-septiembre-de-2006-serie-c-no-1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5E382-2E9E-4FB0-87F5-0FB1C401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7184</Words>
  <Characters>40951</Characters>
  <Application>Microsoft Office Word</Application>
  <DocSecurity>0</DocSecurity>
  <Lines>341</Lines>
  <Paragraphs>96</Paragraphs>
  <ScaleCrop>false</ScaleCrop>
  <Company/>
  <LinksUpToDate>false</LinksUpToDate>
  <CharactersWithSpaces>48039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2020-10-28T22:43:00Z</dcterms:created>
  <dcterms:modified xsi:type="dcterms:W3CDTF">2020-10-28T22:43:00Z</dcterms:modified>
</cp:coreProperties>
</file>